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BD" w:rsidRDefault="00DE49BD" w:rsidP="00DE49BD">
      <w:pPr>
        <w:pStyle w:val="Heading1"/>
        <w:spacing w:before="0" w:line="240" w:lineRule="auto"/>
      </w:pPr>
    </w:p>
    <w:p w:rsidR="00DE49BD" w:rsidRDefault="00DE49BD" w:rsidP="00DE49BD">
      <w:pPr>
        <w:pStyle w:val="Heading1"/>
        <w:spacing w:before="0" w:line="240" w:lineRule="auto"/>
      </w:pPr>
      <w:r>
        <w:t>Introduction</w:t>
      </w:r>
    </w:p>
    <w:p w:rsidR="001A47FE" w:rsidRDefault="00363BD9">
      <w:r>
        <w:t>Community pharmacies in Hertfordshire were sent a stop smoking aud</w:t>
      </w:r>
      <w:r w:rsidR="000C31BE">
        <w:t>it template to complete in 2012/</w:t>
      </w:r>
      <w:r>
        <w:t>2013. The audit aimed to explore how many potential quitters could be identified by brief interventions</w:t>
      </w:r>
      <w:r w:rsidR="000C31BE">
        <w:t>. The data was</w:t>
      </w:r>
      <w:r w:rsidR="00D27BC9">
        <w:t xml:space="preserve"> collected by conducting brief interventions linked to the dispensing service </w:t>
      </w:r>
      <w:r w:rsidR="001A47FE">
        <w:t xml:space="preserve">for one day </w:t>
      </w:r>
      <w:r>
        <w:t xml:space="preserve">and </w:t>
      </w:r>
      <w:r w:rsidR="001A47FE">
        <w:t xml:space="preserve">linked </w:t>
      </w:r>
      <w:r w:rsidR="00FB549C">
        <w:t>to pre</w:t>
      </w:r>
      <w:r>
        <w:t>-conception and pregnancy related over the counter sales</w:t>
      </w:r>
      <w:r w:rsidR="00D27BC9">
        <w:t xml:space="preserve"> for a week</w:t>
      </w:r>
      <w:r>
        <w:t xml:space="preserve">. </w:t>
      </w:r>
      <w:r w:rsidR="001A47FE">
        <w:t>In total</w:t>
      </w:r>
      <w:r w:rsidR="000C31BE">
        <w:t>, 1</w:t>
      </w:r>
      <w:r>
        <w:t>07</w:t>
      </w:r>
      <w:r w:rsidR="000C31BE">
        <w:t xml:space="preserve"> </w:t>
      </w:r>
      <w:r>
        <w:t xml:space="preserve">pharmacy teams returned the audit to the LPC office and this report </w:t>
      </w:r>
      <w:r w:rsidR="00CF1FD9">
        <w:t xml:space="preserve">reflects </w:t>
      </w:r>
      <w:r>
        <w:t>the collated responses</w:t>
      </w:r>
      <w:r w:rsidR="000C31BE">
        <w:t xml:space="preserve"> - </w:t>
      </w:r>
      <w:r w:rsidR="00D27BC9">
        <w:t>at the time there were 250 pharmacies in the county.</w:t>
      </w:r>
      <w:r>
        <w:t xml:space="preserve">  </w:t>
      </w:r>
      <w:r w:rsidR="00CD263F">
        <w:t xml:space="preserve"> </w:t>
      </w:r>
    </w:p>
    <w:p w:rsidR="00CD263F" w:rsidRDefault="00CD263F" w:rsidP="00CD263F">
      <w:pPr>
        <w:pStyle w:val="Heading2"/>
      </w:pPr>
      <w:r>
        <w:t>Brief intervention</w:t>
      </w:r>
      <w:r w:rsidR="00DE49BD">
        <w:t>s</w:t>
      </w:r>
      <w:r>
        <w:t xml:space="preserve"> linked to the dispensing service</w:t>
      </w:r>
    </w:p>
    <w:p w:rsidR="00AB6FAD" w:rsidRDefault="00E26E89">
      <w:r>
        <w:t>The</w:t>
      </w:r>
      <w:r w:rsidR="000C31BE">
        <w:t xml:space="preserve"> audit identified 1337 smokers </w:t>
      </w:r>
      <w:r>
        <w:t xml:space="preserve">and 4414 non-smokers. </w:t>
      </w:r>
      <w:r w:rsidR="008D5A3C">
        <w:t>The majority of pharmacies (</w:t>
      </w:r>
      <w:r w:rsidR="00D27BC9">
        <w:t xml:space="preserve">n=89, </w:t>
      </w:r>
      <w:r w:rsidR="008D5A3C">
        <w:t>83%) that returned the audit offered the NHS stop smoking service</w:t>
      </w:r>
      <w:r w:rsidR="00D27BC9">
        <w:t xml:space="preserve">. </w:t>
      </w:r>
      <w:r w:rsidR="000A7832">
        <w:t>Pharmacies recorded</w:t>
      </w:r>
      <w:r w:rsidR="00FE4476">
        <w:t xml:space="preserve"> the smoking status on the PMR for 1008 smokers (76.1%)</w:t>
      </w:r>
      <w:r w:rsidR="000A7832">
        <w:t xml:space="preserve"> and identified 633 smokers who did not consider that they ‘were contended smokers who do not want to quit’ and 622 contented smokers. </w:t>
      </w:r>
      <w:r w:rsidR="00FE4476">
        <w:t xml:space="preserve">  </w:t>
      </w:r>
    </w:p>
    <w:p w:rsidR="00FB549C" w:rsidRDefault="00E26E89">
      <w:r>
        <w:t>The audit</w:t>
      </w:r>
      <w:r w:rsidR="00CF1FD9">
        <w:t xml:space="preserve"> suggests that for every day that a pharmacy conducts a stop smoking brief intervention linked to the </w:t>
      </w:r>
      <w:r w:rsidR="00FB549C">
        <w:t>present</w:t>
      </w:r>
      <w:r w:rsidR="00CF1FD9">
        <w:t xml:space="preserve">ation of </w:t>
      </w:r>
      <w:r w:rsidR="00FB549C">
        <w:t>a prescription</w:t>
      </w:r>
      <w:r w:rsidR="000C31BE">
        <w:t>,</w:t>
      </w:r>
      <w:r w:rsidR="00FB549C">
        <w:t xml:space="preserve"> identifie</w:t>
      </w:r>
      <w:r w:rsidR="00CF1FD9">
        <w:t>s</w:t>
      </w:r>
      <w:r w:rsidR="001A47FE">
        <w:t xml:space="preserve"> 12</w:t>
      </w:r>
      <w:r w:rsidR="00CF1FD9">
        <w:t xml:space="preserve"> smokers</w:t>
      </w:r>
      <w:r w:rsidR="00FB549C">
        <w:t>.</w:t>
      </w:r>
      <w:r w:rsidR="00CF1FD9">
        <w:t xml:space="preserve"> </w:t>
      </w:r>
      <w:r w:rsidR="00CD263F">
        <w:t>Interestingly,</w:t>
      </w:r>
      <w:r w:rsidR="000C31BE">
        <w:t xml:space="preserve"> both accredited and non-</w:t>
      </w:r>
      <w:r w:rsidR="00CF1FD9">
        <w:t xml:space="preserve">accredited pharmacies identified on average 12 smokers during the one day dispensing brief intervention audit. </w:t>
      </w:r>
      <w:r w:rsidR="00FB549C">
        <w:t>The stop smoking accredited pharmacies identified 1255 smokers and</w:t>
      </w:r>
      <w:r w:rsidR="00FE4476">
        <w:t xml:space="preserve"> of these </w:t>
      </w:r>
      <w:r w:rsidR="00FB549C">
        <w:t xml:space="preserve"> </w:t>
      </w:r>
      <w:r w:rsidR="00CD263F">
        <w:t>414</w:t>
      </w:r>
      <w:r w:rsidR="00CF1FD9">
        <w:t xml:space="preserve"> w</w:t>
      </w:r>
      <w:r w:rsidR="000C31BE">
        <w:t>ere referred to the pharmacy in-</w:t>
      </w:r>
      <w:r w:rsidR="00CF1FD9">
        <w:t xml:space="preserve">house </w:t>
      </w:r>
      <w:r w:rsidR="00CD263F">
        <w:t xml:space="preserve">NHS </w:t>
      </w:r>
      <w:r w:rsidR="00CF1FD9">
        <w:t>stop smoking service</w:t>
      </w:r>
      <w:r w:rsidR="00CD263F">
        <w:t xml:space="preserve"> and 286 were referred into </w:t>
      </w:r>
      <w:r w:rsidR="000C31BE">
        <w:t>the Hertfordshire stop s</w:t>
      </w:r>
      <w:r w:rsidR="00CD263F">
        <w:t>moking service</w:t>
      </w:r>
      <w:r w:rsidR="000A7832">
        <w:t xml:space="preserve"> (</w:t>
      </w:r>
      <w:r w:rsidR="00CD263F">
        <w:t>pharmacy staff could select more than one option</w:t>
      </w:r>
      <w:r w:rsidR="000A7832">
        <w:t>)</w:t>
      </w:r>
      <w:r w:rsidR="00CD263F">
        <w:t xml:space="preserve">. </w:t>
      </w:r>
      <w:r w:rsidR="00CF1FD9">
        <w:t xml:space="preserve"> </w:t>
      </w:r>
      <w:r w:rsidR="000C31BE">
        <w:t xml:space="preserve">Pharmacy staff raised </w:t>
      </w:r>
      <w:r w:rsidR="000E0770">
        <w:t>smokers’ awareness of the health benefits from smoking cessation increased quit rates of the stop smoking service as result of the</w:t>
      </w:r>
      <w:r w:rsidR="00AB6FAD">
        <w:t xml:space="preserve"> 83.7</w:t>
      </w:r>
      <w:r w:rsidR="000E0770">
        <w:t>% (n=110</w:t>
      </w:r>
      <w:r w:rsidR="00AB6FAD">
        <w:t>9</w:t>
      </w:r>
      <w:r w:rsidR="000E0770">
        <w:t xml:space="preserve">) brief interventions. </w:t>
      </w:r>
    </w:p>
    <w:p w:rsidR="00CD263F" w:rsidRDefault="00DE49BD">
      <w:r>
        <w:rPr>
          <w:noProof/>
        </w:rPr>
        <w:drawing>
          <wp:inline distT="0" distB="0" distL="0" distR="0">
            <wp:extent cx="4871927" cy="3895980"/>
            <wp:effectExtent l="19050" t="0" r="4873"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871927" cy="3895980"/>
                    </a:xfrm>
                    <a:prstGeom prst="rect">
                      <a:avLst/>
                    </a:prstGeom>
                    <a:noFill/>
                    <a:ln w="9525">
                      <a:noFill/>
                      <a:miter lim="800000"/>
                      <a:headEnd/>
                      <a:tailEnd/>
                    </a:ln>
                  </pic:spPr>
                </pic:pic>
              </a:graphicData>
            </a:graphic>
          </wp:inline>
        </w:drawing>
      </w:r>
    </w:p>
    <w:p w:rsidR="000C31BE" w:rsidRDefault="00092B2E">
      <w:pPr>
        <w:rPr>
          <w:b/>
        </w:rPr>
      </w:pPr>
      <w:r w:rsidRPr="00B55F30">
        <w:rPr>
          <w:b/>
        </w:rPr>
        <w:t>Referrals into stop smoking services from dispensing interventions</w:t>
      </w:r>
    </w:p>
    <w:p w:rsidR="002C06FB" w:rsidRDefault="002C06FB"/>
    <w:p w:rsidR="008D5A3C" w:rsidRPr="000C31BE" w:rsidRDefault="00FB549C">
      <w:pPr>
        <w:rPr>
          <w:b/>
        </w:rPr>
      </w:pPr>
      <w:r>
        <w:t>Of the 14 pharmacies that did not offer the stop smoking service, 167 smokers were identified linked to dispensing</w:t>
      </w:r>
      <w:r w:rsidR="00CF1FD9">
        <w:t xml:space="preserve"> brief intervention</w:t>
      </w:r>
      <w:r>
        <w:t xml:space="preserve">. </w:t>
      </w:r>
      <w:r w:rsidR="001A47FE">
        <w:t xml:space="preserve">Applying the rule of halves, if half of those offered the stop smoking service had entered the </w:t>
      </w:r>
      <w:r>
        <w:t>service and</w:t>
      </w:r>
      <w:r w:rsidR="001A47FE">
        <w:t xml:space="preserve"> half of those had managed to </w:t>
      </w:r>
      <w:r>
        <w:t>quit,</w:t>
      </w:r>
      <w:r w:rsidR="008D5A3C">
        <w:t xml:space="preserve"> </w:t>
      </w:r>
      <w:r w:rsidR="001A47FE">
        <w:t xml:space="preserve">this represents </w:t>
      </w:r>
      <w:r w:rsidR="000E0770">
        <w:t xml:space="preserve">in total </w:t>
      </w:r>
      <w:r w:rsidR="001A47FE">
        <w:t xml:space="preserve">£4,175 </w:t>
      </w:r>
      <w:r w:rsidR="000E0770">
        <w:t xml:space="preserve">potential </w:t>
      </w:r>
      <w:r w:rsidR="001A47FE">
        <w:t xml:space="preserve">lost revenue </w:t>
      </w:r>
      <w:r>
        <w:t>from brief interventions carried out during one day!</w:t>
      </w:r>
    </w:p>
    <w:p w:rsidR="00B4421A" w:rsidRDefault="00B4421A">
      <w:r>
        <w:t xml:space="preserve">Smokers indicated that they had tried to quit without any form of NHS support in the past two </w:t>
      </w:r>
      <w:r w:rsidR="000C31BE">
        <w:t>years with</w:t>
      </w:r>
      <w:r>
        <w:t xml:space="preserve"> 301 (22.7) trying once and 146 (11.0%) trying twice.</w:t>
      </w:r>
      <w:r w:rsidR="006F6FD9">
        <w:t xml:space="preserve"> The table below demonstrates that </w:t>
      </w:r>
      <w:r w:rsidR="000C31BE">
        <w:t>p</w:t>
      </w:r>
      <w:r w:rsidR="000A7832">
        <w:t>atients</w:t>
      </w:r>
      <w:r w:rsidR="006F6FD9">
        <w:t xml:space="preserve"> have to try to quit several times before the</w:t>
      </w:r>
      <w:r w:rsidR="000C31BE">
        <w:t>y</w:t>
      </w:r>
      <w:r w:rsidR="006F6FD9">
        <w:t xml:space="preserve"> stop smoking (remember the data is for smokers). The table does highlight that there is an increased success rate of </w:t>
      </w:r>
      <w:r w:rsidR="000C31BE">
        <w:t xml:space="preserve">using the stop smoking service </w:t>
      </w:r>
      <w:r w:rsidR="006F6FD9">
        <w:t>and that smokers try to quit at least four times before they stop smoking. This audit suggests that those who have NHS support may have to have fewer quit attempts, before they finally stop smoking. Patients should be supported though several quit cycles</w:t>
      </w:r>
      <w:r w:rsidR="000C31BE">
        <w:t xml:space="preserve"> - </w:t>
      </w:r>
      <w:r w:rsidR="006F6FD9">
        <w:t>if you offer the NHS stop smoking service you should be aware when you need to refer patients to specialist services. It would have been interesting to explore the products used to support the stop smoking service to explore which NRT and other products</w:t>
      </w:r>
      <w:r w:rsidR="0082052A">
        <w:t>,</w:t>
      </w:r>
      <w:r w:rsidR="007E3B76">
        <w:t xml:space="preserve"> including e-</w:t>
      </w:r>
      <w:r w:rsidR="00DE49BD">
        <w:t>cigarettes</w:t>
      </w:r>
      <w:r w:rsidR="0082052A">
        <w:t>,</w:t>
      </w:r>
      <w:r w:rsidR="00DE49BD">
        <w:t xml:space="preserve"> help</w:t>
      </w:r>
      <w:r w:rsidR="006F6FD9">
        <w:t xml:space="preserve"> p</w:t>
      </w:r>
      <w:r w:rsidR="007E3B76">
        <w:t xml:space="preserve">eople </w:t>
      </w:r>
      <w:r w:rsidR="0082052A">
        <w:t xml:space="preserve">to </w:t>
      </w:r>
      <w:r w:rsidR="007E3B76">
        <w:t>stop smoking</w:t>
      </w:r>
      <w:r w:rsidR="006F6FD9">
        <w:t xml:space="preserve">. </w:t>
      </w:r>
    </w:p>
    <w:p w:rsidR="002C06FB" w:rsidRDefault="002C06FB"/>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5"/>
        <w:gridCol w:w="1067"/>
        <w:gridCol w:w="2926"/>
        <w:gridCol w:w="1067"/>
        <w:gridCol w:w="2804"/>
      </w:tblGrid>
      <w:tr w:rsidR="00680A88" w:rsidRPr="00B4421A" w:rsidTr="002C06FB">
        <w:trPr>
          <w:cantSplit/>
          <w:tblHeader/>
        </w:trPr>
        <w:tc>
          <w:tcPr>
            <w:tcW w:w="9219" w:type="dxa"/>
            <w:gridSpan w:val="5"/>
            <w:shd w:val="clear" w:color="auto" w:fill="FFFFFF"/>
          </w:tcPr>
          <w:p w:rsidR="00680A88" w:rsidRPr="000C31BE" w:rsidRDefault="000C31BE" w:rsidP="00B4421A">
            <w:pPr>
              <w:autoSpaceDE w:val="0"/>
              <w:autoSpaceDN w:val="0"/>
              <w:adjustRightInd w:val="0"/>
              <w:spacing w:after="0" w:line="320" w:lineRule="atLeast"/>
              <w:ind w:left="60" w:right="60"/>
              <w:jc w:val="center"/>
              <w:rPr>
                <w:rFonts w:cs="Arial"/>
                <w:b/>
                <w:bCs/>
                <w:color w:val="000000"/>
              </w:rPr>
            </w:pPr>
            <w:r>
              <w:rPr>
                <w:rFonts w:cs="Arial"/>
                <w:b/>
                <w:bCs/>
                <w:color w:val="000000"/>
              </w:rPr>
              <w:t>Dispensing Intervention D</w:t>
            </w:r>
            <w:r w:rsidR="00680A88" w:rsidRPr="000C31BE">
              <w:rPr>
                <w:rFonts w:cs="Arial"/>
                <w:b/>
                <w:bCs/>
                <w:color w:val="000000"/>
              </w:rPr>
              <w:t>ata</w:t>
            </w:r>
          </w:p>
        </w:tc>
      </w:tr>
      <w:tr w:rsidR="00B4421A" w:rsidRPr="00B4421A" w:rsidTr="002C06FB">
        <w:trPr>
          <w:cantSplit/>
          <w:tblHeader/>
        </w:trPr>
        <w:tc>
          <w:tcPr>
            <w:tcW w:w="0" w:type="auto"/>
            <w:vMerge w:val="restart"/>
            <w:shd w:val="clear" w:color="auto" w:fill="FFFFFF"/>
          </w:tcPr>
          <w:p w:rsidR="00B4421A" w:rsidRPr="00B4421A" w:rsidRDefault="00B4421A" w:rsidP="000C31BE">
            <w:pPr>
              <w:autoSpaceDE w:val="0"/>
              <w:autoSpaceDN w:val="0"/>
              <w:adjustRightInd w:val="0"/>
              <w:spacing w:after="0" w:line="320" w:lineRule="atLeast"/>
              <w:ind w:left="60" w:right="60"/>
              <w:rPr>
                <w:rFonts w:cs="Arial"/>
                <w:color w:val="000000"/>
              </w:rPr>
            </w:pPr>
            <w:r w:rsidRPr="00B4421A">
              <w:rPr>
                <w:rFonts w:cs="Arial"/>
                <w:color w:val="000000"/>
              </w:rPr>
              <w:t xml:space="preserve">Number of </w:t>
            </w:r>
            <w:r w:rsidR="00B91C25">
              <w:rPr>
                <w:rFonts w:cs="Arial"/>
                <w:color w:val="000000"/>
              </w:rPr>
              <w:t>quit attempts</w:t>
            </w:r>
          </w:p>
        </w:tc>
        <w:tc>
          <w:tcPr>
            <w:tcW w:w="0" w:type="auto"/>
            <w:gridSpan w:val="2"/>
            <w:shd w:val="clear" w:color="auto" w:fill="FFFFFF"/>
            <w:vAlign w:val="bottom"/>
          </w:tcPr>
          <w:p w:rsidR="00B4421A" w:rsidRPr="00B4421A" w:rsidRDefault="00B4421A" w:rsidP="000C31BE">
            <w:pPr>
              <w:autoSpaceDE w:val="0"/>
              <w:autoSpaceDN w:val="0"/>
              <w:adjustRightInd w:val="0"/>
              <w:spacing w:after="0" w:line="320" w:lineRule="atLeast"/>
              <w:ind w:left="60" w:right="60"/>
              <w:rPr>
                <w:rFonts w:cs="Arial"/>
                <w:color w:val="000000"/>
              </w:rPr>
            </w:pPr>
            <w:r w:rsidRPr="00B4421A">
              <w:rPr>
                <w:rFonts w:cs="Arial"/>
                <w:color w:val="000000"/>
              </w:rPr>
              <w:t>In the past</w:t>
            </w:r>
            <w:r>
              <w:rPr>
                <w:rFonts w:cs="Arial"/>
                <w:color w:val="000000"/>
              </w:rPr>
              <w:t xml:space="preserve"> </w:t>
            </w:r>
            <w:r w:rsidRPr="00B4421A">
              <w:rPr>
                <w:rFonts w:cs="Arial"/>
                <w:b/>
                <w:color w:val="000000"/>
              </w:rPr>
              <w:t>two years</w:t>
            </w:r>
            <w:r w:rsidR="002C06FB">
              <w:rPr>
                <w:rFonts w:cs="Arial"/>
                <w:b/>
                <w:color w:val="000000"/>
              </w:rPr>
              <w:t>,</w:t>
            </w:r>
            <w:r w:rsidRPr="00B4421A">
              <w:rPr>
                <w:rFonts w:cs="Arial"/>
                <w:color w:val="000000"/>
              </w:rPr>
              <w:t xml:space="preserve"> how many times has the patient tried to quit without any NHS support</w:t>
            </w:r>
            <w:r w:rsidR="00DE49BD">
              <w:rPr>
                <w:rFonts w:cs="Arial"/>
                <w:color w:val="000000"/>
              </w:rPr>
              <w:t>?</w:t>
            </w:r>
          </w:p>
        </w:tc>
        <w:tc>
          <w:tcPr>
            <w:tcW w:w="3871" w:type="dxa"/>
            <w:gridSpan w:val="2"/>
            <w:shd w:val="clear" w:color="auto" w:fill="FFFFFF"/>
          </w:tcPr>
          <w:p w:rsidR="00B4421A" w:rsidRPr="00B4421A" w:rsidRDefault="00B4421A" w:rsidP="000C31BE">
            <w:pPr>
              <w:autoSpaceDE w:val="0"/>
              <w:autoSpaceDN w:val="0"/>
              <w:adjustRightInd w:val="0"/>
              <w:spacing w:after="0" w:line="320" w:lineRule="atLeast"/>
              <w:ind w:left="60" w:right="60"/>
              <w:rPr>
                <w:rFonts w:cs="Arial"/>
                <w:color w:val="000000"/>
              </w:rPr>
            </w:pPr>
            <w:r w:rsidRPr="00B4421A">
              <w:rPr>
                <w:rFonts w:cs="Arial"/>
                <w:bCs/>
                <w:color w:val="000000"/>
              </w:rPr>
              <w:t>In the past year, how many times has</w:t>
            </w:r>
            <w:r w:rsidR="000C31BE">
              <w:rPr>
                <w:rFonts w:cs="Arial"/>
                <w:bCs/>
                <w:color w:val="000000"/>
              </w:rPr>
              <w:t xml:space="preserve"> the </w:t>
            </w:r>
            <w:r w:rsidRPr="00B4421A">
              <w:rPr>
                <w:rFonts w:cs="Arial"/>
                <w:bCs/>
                <w:color w:val="000000"/>
              </w:rPr>
              <w:t>patient tried to quit smoking with some form of NHS support</w:t>
            </w:r>
            <w:r w:rsidR="00DE49BD">
              <w:rPr>
                <w:rFonts w:cs="Arial"/>
                <w:bCs/>
                <w:color w:val="000000"/>
              </w:rPr>
              <w:t>?</w:t>
            </w:r>
          </w:p>
        </w:tc>
      </w:tr>
      <w:tr w:rsidR="00B4421A" w:rsidRPr="00B4421A" w:rsidTr="002C06FB">
        <w:trPr>
          <w:cantSplit/>
          <w:tblHeader/>
        </w:trPr>
        <w:tc>
          <w:tcPr>
            <w:tcW w:w="0" w:type="auto"/>
            <w:vMerge/>
            <w:shd w:val="clear" w:color="auto" w:fill="FFFFFF"/>
          </w:tcPr>
          <w:p w:rsidR="00B4421A" w:rsidRPr="00B4421A" w:rsidRDefault="00B4421A" w:rsidP="00B4421A">
            <w:pPr>
              <w:autoSpaceDE w:val="0"/>
              <w:autoSpaceDN w:val="0"/>
              <w:adjustRightInd w:val="0"/>
              <w:spacing w:after="0" w:line="320" w:lineRule="atLeast"/>
              <w:ind w:left="60" w:right="60"/>
              <w:jc w:val="center"/>
              <w:rPr>
                <w:rFonts w:cs="Arial"/>
                <w:color w:val="000000"/>
              </w:rPr>
            </w:pPr>
          </w:p>
        </w:tc>
        <w:tc>
          <w:tcPr>
            <w:tcW w:w="0" w:type="auto"/>
            <w:shd w:val="clear" w:color="auto" w:fill="FFFFFF"/>
            <w:vAlign w:val="bottom"/>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0" w:type="auto"/>
            <w:shd w:val="clear" w:color="auto" w:fill="FFFFFF"/>
            <w:vAlign w:val="bottom"/>
          </w:tcPr>
          <w:p w:rsidR="00B4421A" w:rsidRPr="00B4421A" w:rsidRDefault="006F6FD9" w:rsidP="002C06FB">
            <w:pPr>
              <w:autoSpaceDE w:val="0"/>
              <w:autoSpaceDN w:val="0"/>
              <w:adjustRightInd w:val="0"/>
              <w:spacing w:after="0" w:line="320" w:lineRule="atLeast"/>
              <w:ind w:left="60" w:right="60"/>
              <w:rPr>
                <w:rFonts w:cs="Arial"/>
                <w:color w:val="000000"/>
              </w:rPr>
            </w:pPr>
            <w:r>
              <w:rPr>
                <w:rFonts w:cs="Arial"/>
                <w:color w:val="000000"/>
              </w:rPr>
              <w:t xml:space="preserve">How many times has the patient managed to stop smoking for 28 </w:t>
            </w:r>
            <w:r w:rsidR="002C06FB">
              <w:rPr>
                <w:rFonts w:cs="Arial"/>
                <w:color w:val="000000"/>
              </w:rPr>
              <w:t xml:space="preserve">days </w:t>
            </w:r>
            <w:r>
              <w:rPr>
                <w:rFonts w:cs="Arial"/>
                <w:color w:val="000000"/>
              </w:rPr>
              <w:t xml:space="preserve">in past </w:t>
            </w:r>
            <w:r w:rsidRPr="00DE49BD">
              <w:rPr>
                <w:rFonts w:cs="Arial"/>
                <w:b/>
                <w:color w:val="000000"/>
              </w:rPr>
              <w:t>2 years</w:t>
            </w:r>
          </w:p>
        </w:tc>
        <w:tc>
          <w:tcPr>
            <w:tcW w:w="0" w:type="auto"/>
            <w:shd w:val="clear" w:color="auto" w:fill="FFFFFF"/>
            <w:vAlign w:val="bottom"/>
          </w:tcPr>
          <w:p w:rsidR="00B4421A" w:rsidRPr="00B4421A" w:rsidRDefault="00B4421A" w:rsidP="00B27339">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2804" w:type="dxa"/>
            <w:shd w:val="clear" w:color="auto" w:fill="FFFFFF"/>
            <w:vAlign w:val="center"/>
          </w:tcPr>
          <w:p w:rsidR="00B4421A" w:rsidRPr="00B4421A" w:rsidRDefault="006F6FD9" w:rsidP="002C06FB">
            <w:pPr>
              <w:autoSpaceDE w:val="0"/>
              <w:autoSpaceDN w:val="0"/>
              <w:adjustRightInd w:val="0"/>
              <w:spacing w:after="0" w:line="320" w:lineRule="atLeast"/>
              <w:ind w:left="60" w:right="60"/>
              <w:rPr>
                <w:rFonts w:cs="Arial"/>
                <w:color w:val="000000"/>
              </w:rPr>
            </w:pPr>
            <w:r>
              <w:rPr>
                <w:rFonts w:cs="Arial"/>
                <w:color w:val="000000"/>
              </w:rPr>
              <w:t>How many times has the patient managed to stop smoking for 2</w:t>
            </w:r>
            <w:r w:rsidR="00762751">
              <w:rPr>
                <w:rFonts w:cs="Arial"/>
                <w:color w:val="000000"/>
              </w:rPr>
              <w:t>8 days</w:t>
            </w:r>
            <w:r>
              <w:rPr>
                <w:rFonts w:cs="Arial"/>
                <w:color w:val="000000"/>
              </w:rPr>
              <w:t xml:space="preserve"> in past </w:t>
            </w:r>
            <w:r w:rsidRPr="00DE49BD">
              <w:rPr>
                <w:rFonts w:cs="Arial"/>
                <w:b/>
                <w:color w:val="000000"/>
              </w:rPr>
              <w:t>2 years</w:t>
            </w:r>
          </w:p>
        </w:tc>
      </w:tr>
      <w:tr w:rsidR="00B4421A" w:rsidRPr="00B4421A" w:rsidTr="002C06FB">
        <w:trPr>
          <w:cantSplit/>
          <w:tblHeader/>
        </w:trPr>
        <w:tc>
          <w:tcPr>
            <w:tcW w:w="0" w:type="auto"/>
            <w:shd w:val="clear" w:color="auto" w:fill="FFFFFF"/>
          </w:tcPr>
          <w:p w:rsidR="00B4421A" w:rsidRPr="00B4421A" w:rsidRDefault="00B4421A" w:rsidP="00B4421A">
            <w:pPr>
              <w:autoSpaceDE w:val="0"/>
              <w:autoSpaceDN w:val="0"/>
              <w:adjustRightInd w:val="0"/>
              <w:spacing w:after="0" w:line="320" w:lineRule="atLeast"/>
              <w:ind w:left="60" w:right="60"/>
              <w:rPr>
                <w:rFonts w:cs="Arial"/>
                <w:color w:val="000000"/>
              </w:rPr>
            </w:pPr>
            <w:r w:rsidRPr="00B4421A">
              <w:rPr>
                <w:rFonts w:cs="Arial"/>
                <w:color w:val="000000"/>
              </w:rPr>
              <w:t>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735</w:t>
            </w:r>
          </w:p>
        </w:tc>
        <w:tc>
          <w:tcPr>
            <w:tcW w:w="0" w:type="auto"/>
            <w:shd w:val="clear" w:color="auto" w:fill="FFFFFF"/>
            <w:vAlign w:val="center"/>
          </w:tcPr>
          <w:p w:rsidR="00B4421A" w:rsidRPr="00B4421A" w:rsidRDefault="00980587" w:rsidP="00980587">
            <w:pPr>
              <w:autoSpaceDE w:val="0"/>
              <w:autoSpaceDN w:val="0"/>
              <w:adjustRightInd w:val="0"/>
              <w:spacing w:after="0" w:line="320" w:lineRule="atLeast"/>
              <w:ind w:left="60" w:right="60"/>
              <w:jc w:val="center"/>
              <w:rPr>
                <w:rFonts w:cs="Arial"/>
                <w:color w:val="000000"/>
              </w:rPr>
            </w:pPr>
            <w:r>
              <w:rPr>
                <w:rFonts w:cs="Arial"/>
                <w:color w:val="000000"/>
              </w:rPr>
              <w:t>66 (9.0%)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904</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 xml:space="preserve">108 (12%) </w:t>
            </w:r>
          </w:p>
        </w:tc>
      </w:tr>
      <w:tr w:rsidR="00B4421A" w:rsidRPr="00B4421A" w:rsidTr="002C06FB">
        <w:trPr>
          <w:cantSplit/>
          <w:trHeight w:val="389"/>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1.00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301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121 (40.2%)</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275</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159</w:t>
            </w:r>
            <w:r w:rsidR="006F6FD9">
              <w:rPr>
                <w:rFonts w:cs="Arial"/>
                <w:color w:val="000000"/>
              </w:rPr>
              <w:t xml:space="preserve"> (57.85)</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2.00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146</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84 (57.5%)</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67</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41</w:t>
            </w:r>
            <w:r w:rsidR="006F6FD9">
              <w:rPr>
                <w:rFonts w:cs="Arial"/>
                <w:color w:val="000000"/>
              </w:rPr>
              <w:t xml:space="preserve"> (62.2%)</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3.00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44</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 xml:space="preserve">23 (52.3%) </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13</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8</w:t>
            </w:r>
            <w:r w:rsidR="006F6FD9">
              <w:rPr>
                <w:rFonts w:cs="Arial"/>
                <w:color w:val="000000"/>
              </w:rPr>
              <w:t xml:space="preserve"> (61.5%)</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4.00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22</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15 (68.2%)</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7</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4</w:t>
            </w:r>
            <w:r w:rsidR="006F6FD9">
              <w:rPr>
                <w:rFonts w:cs="Arial"/>
                <w:color w:val="000000"/>
              </w:rPr>
              <w:t xml:space="preserve"> (57.1%)</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5.00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14</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 xml:space="preserve">6 </w:t>
            </w:r>
            <w:r w:rsidR="006F6FD9">
              <w:rPr>
                <w:rFonts w:cs="Arial"/>
                <w:color w:val="000000"/>
              </w:rPr>
              <w:t xml:space="preserve">(42.9%) </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3</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w:t>
            </w:r>
            <w:r w:rsidR="006F6FD9">
              <w:rPr>
                <w:rFonts w:cs="Arial"/>
                <w:color w:val="000000"/>
              </w:rPr>
              <w:t xml:space="preserve"> (33.3%)</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6.00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5</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4</w:t>
            </w:r>
            <w:r w:rsidR="006F6FD9">
              <w:rPr>
                <w:rFonts w:cs="Arial"/>
                <w:color w:val="000000"/>
              </w:rPr>
              <w:t xml:space="preserve"> (80.0%) </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7.00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8.00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10.00</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2</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1</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0</w:t>
            </w:r>
          </w:p>
        </w:tc>
      </w:tr>
      <w:tr w:rsidR="00B4421A" w:rsidRPr="00B4421A" w:rsidTr="002C06FB">
        <w:trPr>
          <w:cantSplit/>
          <w:tblHeader/>
        </w:trPr>
        <w:tc>
          <w:tcPr>
            <w:tcW w:w="0" w:type="auto"/>
            <w:shd w:val="clear" w:color="auto" w:fill="FFFFFF"/>
          </w:tcPr>
          <w:p w:rsidR="00B4421A" w:rsidRPr="00B4421A" w:rsidRDefault="00B4421A" w:rsidP="00B27339">
            <w:pPr>
              <w:autoSpaceDE w:val="0"/>
              <w:autoSpaceDN w:val="0"/>
              <w:adjustRightInd w:val="0"/>
              <w:spacing w:after="0" w:line="320" w:lineRule="atLeast"/>
              <w:ind w:left="60" w:right="60"/>
              <w:rPr>
                <w:rFonts w:cs="Arial"/>
                <w:color w:val="000000"/>
              </w:rPr>
            </w:pPr>
            <w:r w:rsidRPr="00B4421A">
              <w:rPr>
                <w:rFonts w:cs="Arial"/>
                <w:color w:val="000000"/>
              </w:rPr>
              <w:t>Total</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1271</w:t>
            </w:r>
          </w:p>
        </w:tc>
        <w:tc>
          <w:tcPr>
            <w:tcW w:w="0" w:type="auto"/>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321</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1270</w:t>
            </w:r>
          </w:p>
        </w:tc>
        <w:tc>
          <w:tcPr>
            <w:tcW w:w="2804" w:type="dxa"/>
            <w:shd w:val="clear" w:color="auto" w:fill="FFFFFF"/>
            <w:vAlign w:val="center"/>
          </w:tcPr>
          <w:p w:rsidR="00B4421A" w:rsidRPr="00B4421A" w:rsidRDefault="00980587" w:rsidP="00B4421A">
            <w:pPr>
              <w:autoSpaceDE w:val="0"/>
              <w:autoSpaceDN w:val="0"/>
              <w:adjustRightInd w:val="0"/>
              <w:spacing w:after="0" w:line="320" w:lineRule="atLeast"/>
              <w:ind w:left="60" w:right="60"/>
              <w:jc w:val="center"/>
              <w:rPr>
                <w:rFonts w:cs="Arial"/>
                <w:color w:val="000000"/>
              </w:rPr>
            </w:pPr>
            <w:r>
              <w:rPr>
                <w:rFonts w:cs="Arial"/>
                <w:color w:val="000000"/>
              </w:rPr>
              <w:t>321</w:t>
            </w:r>
          </w:p>
        </w:tc>
      </w:tr>
      <w:tr w:rsidR="00B4421A" w:rsidRPr="00B4421A" w:rsidTr="002C06FB">
        <w:trPr>
          <w:cantSplit/>
          <w:tblHeader/>
        </w:trPr>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rPr>
                <w:rFonts w:cs="Arial"/>
                <w:color w:val="000000"/>
              </w:rPr>
            </w:pPr>
            <w:r w:rsidRPr="00B4421A">
              <w:rPr>
                <w:rFonts w:cs="Arial"/>
                <w:color w:val="000000"/>
              </w:rPr>
              <w:t>Missing</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54</w:t>
            </w: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r w:rsidRPr="00B4421A">
              <w:rPr>
                <w:rFonts w:cs="Times New Roman"/>
              </w:rPr>
              <w:t>55</w:t>
            </w:r>
          </w:p>
        </w:tc>
        <w:tc>
          <w:tcPr>
            <w:tcW w:w="2804" w:type="dxa"/>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r>
      <w:tr w:rsidR="00B4421A" w:rsidRPr="00B4421A" w:rsidTr="002C06FB">
        <w:trPr>
          <w:cantSplit/>
        </w:trPr>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rPr>
                <w:rFonts w:cs="Arial"/>
                <w:color w:val="000000"/>
              </w:rPr>
            </w:pPr>
            <w:r w:rsidRPr="00B4421A">
              <w:rPr>
                <w:rFonts w:cs="Arial"/>
                <w:color w:val="000000"/>
              </w:rPr>
              <w:t>Total</w:t>
            </w:r>
          </w:p>
        </w:tc>
        <w:tc>
          <w:tcPr>
            <w:tcW w:w="0" w:type="auto"/>
            <w:shd w:val="clear" w:color="auto" w:fill="FFFFFF"/>
            <w:vAlign w:val="center"/>
          </w:tcPr>
          <w:p w:rsidR="00B4421A" w:rsidRPr="00B4421A" w:rsidRDefault="00B4421A" w:rsidP="00B4421A">
            <w:pPr>
              <w:autoSpaceDE w:val="0"/>
              <w:autoSpaceDN w:val="0"/>
              <w:adjustRightInd w:val="0"/>
              <w:spacing w:after="0" w:line="320" w:lineRule="atLeast"/>
              <w:ind w:left="60" w:right="60"/>
              <w:jc w:val="center"/>
              <w:rPr>
                <w:rFonts w:cs="Arial"/>
                <w:color w:val="000000"/>
              </w:rPr>
            </w:pPr>
            <w:r w:rsidRPr="00B4421A">
              <w:rPr>
                <w:rFonts w:cs="Arial"/>
                <w:color w:val="000000"/>
              </w:rPr>
              <w:t>1325</w:t>
            </w: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c>
          <w:tcPr>
            <w:tcW w:w="0" w:type="auto"/>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r w:rsidRPr="00B4421A">
              <w:rPr>
                <w:rFonts w:cs="Times New Roman"/>
              </w:rPr>
              <w:t>1325</w:t>
            </w:r>
          </w:p>
        </w:tc>
        <w:tc>
          <w:tcPr>
            <w:tcW w:w="2804" w:type="dxa"/>
            <w:shd w:val="clear" w:color="auto" w:fill="FFFFFF"/>
            <w:vAlign w:val="center"/>
          </w:tcPr>
          <w:p w:rsidR="00B4421A" w:rsidRPr="00B4421A" w:rsidRDefault="00B4421A" w:rsidP="00B4421A">
            <w:pPr>
              <w:autoSpaceDE w:val="0"/>
              <w:autoSpaceDN w:val="0"/>
              <w:adjustRightInd w:val="0"/>
              <w:spacing w:after="0" w:line="240" w:lineRule="auto"/>
              <w:jc w:val="center"/>
              <w:rPr>
                <w:rFonts w:cs="Times New Roman"/>
              </w:rPr>
            </w:pPr>
          </w:p>
        </w:tc>
      </w:tr>
    </w:tbl>
    <w:p w:rsidR="00B4421A" w:rsidRPr="00B4421A" w:rsidRDefault="00B4421A" w:rsidP="00B4421A">
      <w:pPr>
        <w:autoSpaceDE w:val="0"/>
        <w:autoSpaceDN w:val="0"/>
        <w:adjustRightInd w:val="0"/>
        <w:spacing w:after="0" w:line="400" w:lineRule="atLeast"/>
        <w:rPr>
          <w:rFonts w:ascii="Times New Roman" w:hAnsi="Times New Roman" w:cs="Times New Roman"/>
          <w:sz w:val="24"/>
          <w:szCs w:val="24"/>
        </w:rPr>
      </w:pPr>
    </w:p>
    <w:p w:rsidR="002C06FB" w:rsidRDefault="00DE49BD">
      <w:r>
        <w:t>One smoker had managed to stop smoking five times for 28 days in the past 2</w:t>
      </w:r>
      <w:r w:rsidR="002C06FB">
        <w:t xml:space="preserve"> years without any NHS support </w:t>
      </w:r>
      <w:r>
        <w:t>and of</w:t>
      </w:r>
      <w:r w:rsidR="002C06FB">
        <w:t xml:space="preserve"> the two smokers who had tried </w:t>
      </w:r>
      <w:r>
        <w:t>ten times to quit without any support</w:t>
      </w:r>
      <w:r w:rsidR="002C06FB">
        <w:t>,</w:t>
      </w:r>
      <w:r>
        <w:t xml:space="preserve"> one had never </w:t>
      </w:r>
    </w:p>
    <w:p w:rsidR="002C06FB" w:rsidRDefault="002C06FB">
      <w:bookmarkStart w:id="0" w:name="_GoBack"/>
      <w:bookmarkEnd w:id="0"/>
    </w:p>
    <w:p w:rsidR="00B4421A" w:rsidRDefault="00DE49BD">
      <w:r>
        <w:t>managed to stop for 28 days and the other had stopped smoking once for 28 days in the past two years</w:t>
      </w:r>
      <w:r w:rsidR="002C06FB">
        <w:t xml:space="preserve">, both were referred </w:t>
      </w:r>
      <w:r w:rsidR="000A7832">
        <w:t>to the in</w:t>
      </w:r>
      <w:r w:rsidR="002C06FB">
        <w:t>-</w:t>
      </w:r>
      <w:r w:rsidR="000A7832">
        <w:t>house pharmacy stop smoking service.</w:t>
      </w:r>
      <w:r w:rsidR="002C06FB">
        <w:t xml:space="preserve"> </w:t>
      </w:r>
      <w:r>
        <w:t xml:space="preserve">Most of the smokers (904) had never tried to quit with any NHS support, highlighting the opportunities associated with the service.  </w:t>
      </w:r>
    </w:p>
    <w:p w:rsidR="00B55F30" w:rsidRDefault="00B55F30" w:rsidP="0082052A">
      <w:pPr>
        <w:pStyle w:val="Heading2"/>
      </w:pPr>
      <w:r>
        <w:rPr>
          <w:noProof/>
        </w:rPr>
        <w:drawing>
          <wp:inline distT="0" distB="0" distL="0" distR="0">
            <wp:extent cx="5731510" cy="4583371"/>
            <wp:effectExtent l="19050" t="0" r="254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31510" cy="4583371"/>
                    </a:xfrm>
                    <a:prstGeom prst="rect">
                      <a:avLst/>
                    </a:prstGeom>
                    <a:noFill/>
                    <a:ln w="9525">
                      <a:noFill/>
                      <a:miter lim="800000"/>
                      <a:headEnd/>
                      <a:tailEnd/>
                    </a:ln>
                  </pic:spPr>
                </pic:pic>
              </a:graphicData>
            </a:graphic>
          </wp:inline>
        </w:drawing>
      </w:r>
    </w:p>
    <w:p w:rsidR="00B55F30" w:rsidRDefault="00B55F30" w:rsidP="00B55F30">
      <w:pPr>
        <w:rPr>
          <w:b/>
        </w:rPr>
      </w:pPr>
      <w:r w:rsidRPr="00B55F30">
        <w:rPr>
          <w:b/>
        </w:rPr>
        <w:t xml:space="preserve">Chart that illustrates </w:t>
      </w:r>
      <w:r>
        <w:rPr>
          <w:b/>
        </w:rPr>
        <w:t xml:space="preserve">how many times </w:t>
      </w:r>
      <w:r w:rsidRPr="00B55F30">
        <w:rPr>
          <w:b/>
        </w:rPr>
        <w:t>‘non-contented smokers’</w:t>
      </w:r>
      <w:r>
        <w:rPr>
          <w:b/>
        </w:rPr>
        <w:t xml:space="preserve"> </w:t>
      </w:r>
      <w:r w:rsidR="002C06FB">
        <w:rPr>
          <w:b/>
        </w:rPr>
        <w:t>h</w:t>
      </w:r>
      <w:r>
        <w:rPr>
          <w:b/>
        </w:rPr>
        <w:t>ad tried to quit without NHS support and where they we</w:t>
      </w:r>
      <w:r w:rsidRPr="00B55F30">
        <w:rPr>
          <w:b/>
        </w:rPr>
        <w:t xml:space="preserve">re referred </w:t>
      </w:r>
      <w:r w:rsidR="002C06FB">
        <w:rPr>
          <w:b/>
        </w:rPr>
        <w:t>to.</w:t>
      </w:r>
    </w:p>
    <w:p w:rsidR="0082052A" w:rsidRDefault="0082052A" w:rsidP="00B55F30">
      <w:pPr>
        <w:pStyle w:val="Heading1"/>
      </w:pPr>
      <w:r>
        <w:t xml:space="preserve">Pre-conception and pregnancy service intervention </w:t>
      </w:r>
    </w:p>
    <w:p w:rsidR="00CD263F" w:rsidRDefault="00CF1FD9">
      <w:r>
        <w:t xml:space="preserve">The pre-conception and pregnancy service interventions identified </w:t>
      </w:r>
      <w:r w:rsidR="00CD263F">
        <w:t>781 non-smokers</w:t>
      </w:r>
      <w:r w:rsidR="0082052A">
        <w:t xml:space="preserve"> and 329 smokers</w:t>
      </w:r>
      <w:r>
        <w:t xml:space="preserve">. </w:t>
      </w:r>
      <w:r w:rsidR="0082052A">
        <w:t>Of the 329 smokers, most (n=207, 63.1%) indicated that they plan to stop s</w:t>
      </w:r>
      <w:r w:rsidR="002C06FB">
        <w:t>moking in the next three months</w:t>
      </w:r>
      <w:r w:rsidR="0082052A">
        <w:t xml:space="preserve"> and 226 (68.9%) indicated that they were not ‘contented smokers who did not want to quit’</w:t>
      </w:r>
      <w:r w:rsidR="002C06FB">
        <w:t xml:space="preserve"> - </w:t>
      </w:r>
      <w:r w:rsidR="0082052A">
        <w:t xml:space="preserve">this is a higher proportion than the 50.4% of smokers who were identified using the dispensing brief intervention. </w:t>
      </w:r>
      <w:r>
        <w:t xml:space="preserve">This highlights a potential cohort </w:t>
      </w:r>
      <w:r w:rsidR="00CD263F">
        <w:t xml:space="preserve">of </w:t>
      </w:r>
      <w:r w:rsidR="0082052A">
        <w:t xml:space="preserve">potential </w:t>
      </w:r>
      <w:r w:rsidR="00CD263F">
        <w:t>smokers</w:t>
      </w:r>
      <w:r w:rsidR="0082052A">
        <w:t xml:space="preserve"> who may appreciate being offered stop smoking services. The audit identified that 376 people live with someone who smoke; p</w:t>
      </w:r>
      <w:r w:rsidR="00CD263F">
        <w:t xml:space="preserve">harmacies may want to use this data to inform a smoke free home campaign. </w:t>
      </w:r>
    </w:p>
    <w:p w:rsidR="002C06FB" w:rsidRDefault="002C06FB"/>
    <w:p w:rsidR="002C06FB" w:rsidRDefault="002C06FB"/>
    <w:p w:rsidR="0082052A" w:rsidRDefault="0082052A">
      <w:r>
        <w:t>Most brief interventions made patients aware of the health benefits from smoking</w:t>
      </w:r>
      <w:r w:rsidR="002C06FB">
        <w:t xml:space="preserve"> cessation (n=296, 90.2%) and </w:t>
      </w:r>
      <w:r w:rsidR="00F24B77">
        <w:t>85.7% (n=281) were made aware of the increased quit rates of the stop smoking service; pharmacy staff considered that 218 (66.5%) of those using the service would benefit from the pregnancy stop smo</w:t>
      </w:r>
      <w:r w:rsidR="002C06FB">
        <w:t xml:space="preserve">king service. Only 52 (15.9%) </w:t>
      </w:r>
      <w:r w:rsidR="00F24B77">
        <w:t xml:space="preserve">patients </w:t>
      </w:r>
      <w:r w:rsidR="002C06FB">
        <w:t xml:space="preserve">in </w:t>
      </w:r>
      <w:r w:rsidR="00F24B77">
        <w:t xml:space="preserve">this group were not signposted to another service, 58 were signposted to the in-house pharmacy Pregnancy stop smoking service funded by Hertfordshire stop smoking services and 135 were signposted to the normal smoking cessation service funded by Hertfordshire stop smoking services offered by the pharmacy. </w:t>
      </w:r>
      <w:r w:rsidR="00E26E89">
        <w:t xml:space="preserve"> Once again, the data indicates that smokers need several attempts to quit smoking</w:t>
      </w:r>
      <w:r w:rsidR="00FE59E6">
        <w:t>,</w:t>
      </w:r>
      <w:r w:rsidR="00E26E89">
        <w:t xml:space="preserve"> but those who </w:t>
      </w:r>
      <w:r w:rsidR="00FE59E6">
        <w:t xml:space="preserve">have stop smoking </w:t>
      </w:r>
      <w:r w:rsidR="00E26E89">
        <w:t>service</w:t>
      </w:r>
      <w:r w:rsidR="00FE59E6">
        <w:t xml:space="preserve"> support</w:t>
      </w:r>
      <w:r w:rsidR="00E26E89">
        <w:t xml:space="preserve"> are more likely to quit. </w:t>
      </w:r>
    </w:p>
    <w:p w:rsidR="002C06FB" w:rsidRDefault="002C06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9"/>
        <w:gridCol w:w="1961"/>
        <w:gridCol w:w="1961"/>
        <w:gridCol w:w="1961"/>
        <w:gridCol w:w="1964"/>
      </w:tblGrid>
      <w:tr w:rsidR="00680A88" w:rsidRPr="00B4421A" w:rsidTr="00680A88">
        <w:trPr>
          <w:cantSplit/>
          <w:tblHeader/>
        </w:trPr>
        <w:tc>
          <w:tcPr>
            <w:tcW w:w="5000" w:type="pct"/>
            <w:gridSpan w:val="5"/>
            <w:shd w:val="clear" w:color="auto" w:fill="FFFFFF"/>
          </w:tcPr>
          <w:p w:rsidR="00680A88" w:rsidRPr="002C06FB" w:rsidRDefault="002C06FB" w:rsidP="002C06FB">
            <w:pPr>
              <w:autoSpaceDE w:val="0"/>
              <w:autoSpaceDN w:val="0"/>
              <w:adjustRightInd w:val="0"/>
              <w:spacing w:after="0" w:line="320" w:lineRule="atLeast"/>
              <w:ind w:left="60" w:right="60"/>
              <w:jc w:val="center"/>
              <w:rPr>
                <w:rFonts w:cs="Arial"/>
                <w:b/>
                <w:bCs/>
                <w:color w:val="000000"/>
              </w:rPr>
            </w:pPr>
            <w:r>
              <w:rPr>
                <w:rFonts w:cs="Arial"/>
                <w:b/>
                <w:bCs/>
                <w:color w:val="000000"/>
              </w:rPr>
              <w:t>Pre-conception and P</w:t>
            </w:r>
            <w:r w:rsidR="00680A88" w:rsidRPr="002C06FB">
              <w:rPr>
                <w:rFonts w:cs="Arial"/>
                <w:b/>
                <w:bCs/>
                <w:color w:val="000000"/>
              </w:rPr>
              <w:t xml:space="preserve">regnancy </w:t>
            </w:r>
            <w:r>
              <w:rPr>
                <w:rFonts w:cs="Arial"/>
                <w:b/>
                <w:bCs/>
                <w:color w:val="000000"/>
              </w:rPr>
              <w:t>S</w:t>
            </w:r>
            <w:r w:rsidR="00680A88" w:rsidRPr="002C06FB">
              <w:rPr>
                <w:rFonts w:cs="Arial"/>
                <w:b/>
                <w:bCs/>
                <w:color w:val="000000"/>
              </w:rPr>
              <w:t xml:space="preserve">ervice </w:t>
            </w:r>
            <w:r>
              <w:rPr>
                <w:rFonts w:cs="Arial"/>
                <w:b/>
                <w:bCs/>
                <w:color w:val="000000"/>
              </w:rPr>
              <w:t>I</w:t>
            </w:r>
            <w:r w:rsidR="00680A88" w:rsidRPr="002C06FB">
              <w:rPr>
                <w:rFonts w:cs="Arial"/>
                <w:b/>
                <w:bCs/>
                <w:color w:val="000000"/>
              </w:rPr>
              <w:t xml:space="preserve">ntervention </w:t>
            </w:r>
            <w:r>
              <w:rPr>
                <w:rFonts w:cs="Arial"/>
                <w:b/>
                <w:bCs/>
                <w:color w:val="000000"/>
              </w:rPr>
              <w:t>D</w:t>
            </w:r>
            <w:r w:rsidR="00680A88" w:rsidRPr="002C06FB">
              <w:rPr>
                <w:rFonts w:cs="Arial"/>
                <w:b/>
                <w:bCs/>
                <w:color w:val="000000"/>
              </w:rPr>
              <w:t>ata</w:t>
            </w:r>
          </w:p>
        </w:tc>
      </w:tr>
      <w:tr w:rsidR="00F576FE" w:rsidRPr="00B4421A" w:rsidTr="00762751">
        <w:trPr>
          <w:cantSplit/>
          <w:tblHeader/>
        </w:trPr>
        <w:tc>
          <w:tcPr>
            <w:tcW w:w="658" w:type="pct"/>
            <w:vMerge w:val="restart"/>
            <w:shd w:val="clear" w:color="auto" w:fill="FFFFFF"/>
          </w:tcPr>
          <w:p w:rsidR="00F576FE" w:rsidRPr="00B4421A" w:rsidRDefault="00F576FE" w:rsidP="002C06FB">
            <w:pPr>
              <w:autoSpaceDE w:val="0"/>
              <w:autoSpaceDN w:val="0"/>
              <w:adjustRightInd w:val="0"/>
              <w:spacing w:after="0" w:line="320" w:lineRule="atLeast"/>
              <w:ind w:left="60" w:right="60"/>
              <w:rPr>
                <w:rFonts w:cs="Arial"/>
                <w:color w:val="000000"/>
              </w:rPr>
            </w:pPr>
            <w:r w:rsidRPr="00B4421A">
              <w:rPr>
                <w:rFonts w:cs="Arial"/>
                <w:color w:val="000000"/>
              </w:rPr>
              <w:t xml:space="preserve">Number of </w:t>
            </w:r>
            <w:r>
              <w:rPr>
                <w:rFonts w:cs="Arial"/>
                <w:color w:val="000000"/>
              </w:rPr>
              <w:t>quit attempts</w:t>
            </w:r>
          </w:p>
        </w:tc>
        <w:tc>
          <w:tcPr>
            <w:tcW w:w="2170" w:type="pct"/>
            <w:gridSpan w:val="2"/>
            <w:shd w:val="clear" w:color="auto" w:fill="FFFFFF"/>
            <w:vAlign w:val="bottom"/>
          </w:tcPr>
          <w:p w:rsidR="00F576FE" w:rsidRPr="00B4421A" w:rsidRDefault="00F576FE" w:rsidP="002C06FB">
            <w:pPr>
              <w:autoSpaceDE w:val="0"/>
              <w:autoSpaceDN w:val="0"/>
              <w:adjustRightInd w:val="0"/>
              <w:spacing w:after="0" w:line="320" w:lineRule="atLeast"/>
              <w:ind w:left="60" w:right="60"/>
              <w:rPr>
                <w:rFonts w:cs="Arial"/>
                <w:color w:val="000000"/>
              </w:rPr>
            </w:pPr>
            <w:r w:rsidRPr="00B4421A">
              <w:rPr>
                <w:rFonts w:cs="Arial"/>
                <w:color w:val="000000"/>
              </w:rPr>
              <w:t xml:space="preserve">In the </w:t>
            </w:r>
            <w:r w:rsidRPr="00762751">
              <w:rPr>
                <w:rFonts w:cs="Arial"/>
                <w:b/>
                <w:color w:val="000000"/>
              </w:rPr>
              <w:t>past year</w:t>
            </w:r>
            <w:r w:rsidR="002C06FB">
              <w:rPr>
                <w:rFonts w:cs="Arial"/>
                <w:b/>
                <w:color w:val="000000"/>
              </w:rPr>
              <w:t>,</w:t>
            </w:r>
            <w:r w:rsidRPr="00B4421A">
              <w:rPr>
                <w:rFonts w:cs="Arial"/>
                <w:color w:val="000000"/>
              </w:rPr>
              <w:t xml:space="preserve"> how many times has the patient tried to quit </w:t>
            </w:r>
            <w:r w:rsidR="002C06FB">
              <w:rPr>
                <w:rFonts w:cs="Arial"/>
                <w:color w:val="000000"/>
              </w:rPr>
              <w:t xml:space="preserve">smoking </w:t>
            </w:r>
            <w:r w:rsidRPr="00B4421A">
              <w:rPr>
                <w:rFonts w:cs="Arial"/>
                <w:color w:val="000000"/>
              </w:rPr>
              <w:t>without any NHS support</w:t>
            </w:r>
            <w:r>
              <w:rPr>
                <w:rFonts w:cs="Arial"/>
                <w:color w:val="000000"/>
              </w:rPr>
              <w:t>?</w:t>
            </w:r>
          </w:p>
        </w:tc>
        <w:tc>
          <w:tcPr>
            <w:tcW w:w="2172" w:type="pct"/>
            <w:gridSpan w:val="2"/>
            <w:shd w:val="clear" w:color="auto" w:fill="FFFFFF"/>
          </w:tcPr>
          <w:p w:rsidR="00F576FE" w:rsidRPr="00B4421A" w:rsidRDefault="00F576FE" w:rsidP="002C06FB">
            <w:pPr>
              <w:autoSpaceDE w:val="0"/>
              <w:autoSpaceDN w:val="0"/>
              <w:adjustRightInd w:val="0"/>
              <w:spacing w:after="0" w:line="320" w:lineRule="atLeast"/>
              <w:ind w:left="60" w:right="60"/>
              <w:rPr>
                <w:rFonts w:cs="Arial"/>
                <w:color w:val="000000"/>
              </w:rPr>
            </w:pPr>
            <w:r w:rsidRPr="00B4421A">
              <w:rPr>
                <w:rFonts w:cs="Arial"/>
                <w:bCs/>
                <w:color w:val="000000"/>
              </w:rPr>
              <w:t xml:space="preserve">In the </w:t>
            </w:r>
            <w:r w:rsidRPr="00B4421A">
              <w:rPr>
                <w:rFonts w:cs="Arial"/>
                <w:b/>
                <w:bCs/>
                <w:color w:val="000000"/>
              </w:rPr>
              <w:t>past year</w:t>
            </w:r>
            <w:r w:rsidRPr="00B4421A">
              <w:rPr>
                <w:rFonts w:cs="Arial"/>
                <w:bCs/>
                <w:color w:val="000000"/>
              </w:rPr>
              <w:t>, how many times has th</w:t>
            </w:r>
            <w:r w:rsidR="002C06FB">
              <w:rPr>
                <w:rFonts w:cs="Arial"/>
                <w:bCs/>
                <w:color w:val="000000"/>
              </w:rPr>
              <w:t xml:space="preserve">e </w:t>
            </w:r>
            <w:r w:rsidRPr="00B4421A">
              <w:rPr>
                <w:rFonts w:cs="Arial"/>
                <w:bCs/>
                <w:color w:val="000000"/>
              </w:rPr>
              <w:t>patient tried to quit smoking with some form of NHS support</w:t>
            </w:r>
            <w:r>
              <w:rPr>
                <w:rFonts w:cs="Arial"/>
                <w:bCs/>
                <w:color w:val="000000"/>
              </w:rPr>
              <w:t>?</w:t>
            </w:r>
          </w:p>
        </w:tc>
      </w:tr>
      <w:tr w:rsidR="00F576FE" w:rsidRPr="00B4421A" w:rsidTr="00762751">
        <w:trPr>
          <w:cantSplit/>
          <w:tblHeader/>
        </w:trPr>
        <w:tc>
          <w:tcPr>
            <w:tcW w:w="658" w:type="pct"/>
            <w:vMerge/>
            <w:shd w:val="clear" w:color="auto" w:fill="FFFFFF"/>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c>
          <w:tcPr>
            <w:tcW w:w="1085" w:type="pct"/>
            <w:shd w:val="clear" w:color="auto" w:fill="FFFFFF"/>
            <w:vAlign w:val="bottom"/>
          </w:tcPr>
          <w:p w:rsidR="00F576FE" w:rsidRPr="00B4421A" w:rsidRDefault="00F576FE" w:rsidP="00B27339">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1085" w:type="pct"/>
            <w:shd w:val="clear" w:color="auto" w:fill="FFFFFF"/>
            <w:vAlign w:val="bottom"/>
          </w:tcPr>
          <w:p w:rsidR="00F576FE" w:rsidRPr="00B4421A" w:rsidRDefault="00F576FE" w:rsidP="002C06FB">
            <w:pPr>
              <w:autoSpaceDE w:val="0"/>
              <w:autoSpaceDN w:val="0"/>
              <w:adjustRightInd w:val="0"/>
              <w:spacing w:after="0" w:line="320" w:lineRule="atLeast"/>
              <w:ind w:left="60" w:right="60"/>
              <w:rPr>
                <w:rFonts w:cs="Arial"/>
                <w:color w:val="000000"/>
              </w:rPr>
            </w:pPr>
            <w:r>
              <w:rPr>
                <w:rFonts w:cs="Arial"/>
                <w:color w:val="000000"/>
              </w:rPr>
              <w:t xml:space="preserve">How many times has the patient managed to stop smoking for 28 days  in past </w:t>
            </w:r>
            <w:r w:rsidRPr="00DE49BD">
              <w:rPr>
                <w:rFonts w:cs="Arial"/>
                <w:b/>
                <w:color w:val="000000"/>
              </w:rPr>
              <w:t>2 years</w:t>
            </w:r>
          </w:p>
        </w:tc>
        <w:tc>
          <w:tcPr>
            <w:tcW w:w="1085" w:type="pct"/>
            <w:shd w:val="clear" w:color="auto" w:fill="FFFFFF"/>
            <w:vAlign w:val="bottom"/>
          </w:tcPr>
          <w:p w:rsidR="00F576FE" w:rsidRPr="00B4421A" w:rsidRDefault="00F576FE" w:rsidP="00B27339">
            <w:pPr>
              <w:autoSpaceDE w:val="0"/>
              <w:autoSpaceDN w:val="0"/>
              <w:adjustRightInd w:val="0"/>
              <w:spacing w:after="0" w:line="320" w:lineRule="atLeast"/>
              <w:ind w:left="60" w:right="60"/>
              <w:jc w:val="center"/>
              <w:rPr>
                <w:rFonts w:cs="Arial"/>
                <w:color w:val="000000"/>
              </w:rPr>
            </w:pPr>
            <w:r w:rsidRPr="00B4421A">
              <w:rPr>
                <w:rFonts w:cs="Arial"/>
                <w:color w:val="000000"/>
              </w:rPr>
              <w:t>Frequency</w:t>
            </w:r>
          </w:p>
        </w:tc>
        <w:tc>
          <w:tcPr>
            <w:tcW w:w="1087" w:type="pct"/>
            <w:shd w:val="clear" w:color="auto" w:fill="FFFFFF"/>
            <w:vAlign w:val="center"/>
          </w:tcPr>
          <w:p w:rsidR="00F576FE" w:rsidRPr="00B4421A" w:rsidRDefault="00F576FE" w:rsidP="002C06FB">
            <w:pPr>
              <w:autoSpaceDE w:val="0"/>
              <w:autoSpaceDN w:val="0"/>
              <w:adjustRightInd w:val="0"/>
              <w:spacing w:after="0" w:line="320" w:lineRule="atLeast"/>
              <w:ind w:left="60" w:right="60"/>
              <w:rPr>
                <w:rFonts w:cs="Arial"/>
                <w:color w:val="000000"/>
              </w:rPr>
            </w:pPr>
            <w:r>
              <w:rPr>
                <w:rFonts w:cs="Arial"/>
                <w:color w:val="000000"/>
              </w:rPr>
              <w:t xml:space="preserve">How many times has the patient managed to stop smoking for 28 days  in past </w:t>
            </w:r>
            <w:r w:rsidRPr="00DE49BD">
              <w:rPr>
                <w:rFonts w:cs="Arial"/>
                <w:b/>
                <w:color w:val="000000"/>
              </w:rPr>
              <w:t>2 years</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221</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32 (14.4%)</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246</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61 (24.8%)</w:t>
            </w:r>
          </w:p>
        </w:tc>
      </w:tr>
      <w:tr w:rsidR="00F576FE" w:rsidRPr="00B4421A" w:rsidTr="00680A88">
        <w:trPr>
          <w:cantSplit/>
          <w:trHeight w:val="389"/>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1.00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74</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21 (28.4%)</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68</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43 (63.2%)</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2.00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26</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16 (61.5%)</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12</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11 (91.7%)</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3.00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12</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10 (83.3%)</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6"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1</w:t>
            </w: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4.00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0</w:t>
            </w:r>
          </w:p>
        </w:tc>
        <w:tc>
          <w:tcPr>
            <w:tcW w:w="1086" w:type="pct"/>
            <w:shd w:val="clear" w:color="auto" w:fill="FFFFFF"/>
            <w:vAlign w:val="center"/>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5.00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2</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0</w:t>
            </w:r>
          </w:p>
        </w:tc>
        <w:tc>
          <w:tcPr>
            <w:tcW w:w="1086" w:type="pct"/>
            <w:shd w:val="clear" w:color="auto" w:fill="FFFFFF"/>
            <w:vAlign w:val="center"/>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r>
      <w:tr w:rsidR="00F576FE" w:rsidRPr="00B4421A" w:rsidTr="00680A88">
        <w:trPr>
          <w:cantSplit/>
          <w:tblHeader/>
        </w:trPr>
        <w:tc>
          <w:tcPr>
            <w:tcW w:w="658" w:type="pct"/>
            <w:shd w:val="clear" w:color="auto" w:fill="FFFFFF"/>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6.00</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762751" w:rsidP="00B27339">
            <w:pPr>
              <w:autoSpaceDE w:val="0"/>
              <w:autoSpaceDN w:val="0"/>
              <w:adjustRightInd w:val="0"/>
              <w:spacing w:after="0" w:line="320" w:lineRule="atLeast"/>
              <w:ind w:left="60" w:right="60"/>
              <w:jc w:val="center"/>
              <w:rPr>
                <w:rFonts w:cs="Arial"/>
                <w:color w:val="000000"/>
              </w:rPr>
            </w:pPr>
            <w:r>
              <w:rPr>
                <w:rFonts w:cs="Arial"/>
                <w:color w:val="000000"/>
              </w:rPr>
              <w:t>0</w:t>
            </w:r>
          </w:p>
        </w:tc>
        <w:tc>
          <w:tcPr>
            <w:tcW w:w="1086" w:type="pct"/>
            <w:shd w:val="clear" w:color="auto" w:fill="FFFFFF"/>
            <w:vAlign w:val="center"/>
          </w:tcPr>
          <w:p w:rsidR="00F576FE" w:rsidRPr="00B4421A" w:rsidRDefault="00F576FE" w:rsidP="00B27339">
            <w:pPr>
              <w:autoSpaceDE w:val="0"/>
              <w:autoSpaceDN w:val="0"/>
              <w:adjustRightInd w:val="0"/>
              <w:spacing w:after="0" w:line="320" w:lineRule="atLeast"/>
              <w:ind w:left="60" w:right="60"/>
              <w:jc w:val="center"/>
              <w:rPr>
                <w:rFonts w:cs="Arial"/>
                <w:color w:val="000000"/>
              </w:rPr>
            </w:pPr>
          </w:p>
        </w:tc>
      </w:tr>
      <w:tr w:rsidR="00F576FE" w:rsidRPr="00B4421A" w:rsidTr="00762751">
        <w:trPr>
          <w:cantSplit/>
          <w:tblHeader/>
        </w:trPr>
        <w:tc>
          <w:tcPr>
            <w:tcW w:w="658" w:type="pct"/>
            <w:shd w:val="clear" w:color="auto" w:fill="FFFFFF"/>
            <w:vAlign w:val="center"/>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Missing</w:t>
            </w:r>
          </w:p>
        </w:tc>
        <w:tc>
          <w:tcPr>
            <w:tcW w:w="1085" w:type="pct"/>
            <w:shd w:val="clear" w:color="auto" w:fill="FFFFFF"/>
            <w:vAlign w:val="center"/>
          </w:tcPr>
          <w:p w:rsidR="00F576FE" w:rsidRPr="00B4421A" w:rsidRDefault="00680A88" w:rsidP="00B27339">
            <w:pPr>
              <w:autoSpaceDE w:val="0"/>
              <w:autoSpaceDN w:val="0"/>
              <w:adjustRightInd w:val="0"/>
              <w:spacing w:after="0" w:line="320" w:lineRule="atLeast"/>
              <w:ind w:left="60" w:right="60"/>
              <w:jc w:val="center"/>
              <w:rPr>
                <w:rFonts w:cs="Arial"/>
                <w:color w:val="000000"/>
              </w:rPr>
            </w:pPr>
            <w:r>
              <w:rPr>
                <w:rFonts w:cs="Arial"/>
                <w:color w:val="000000"/>
              </w:rPr>
              <w:t>1</w:t>
            </w: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7" w:type="pct"/>
            <w:shd w:val="clear" w:color="auto" w:fill="FFFFFF"/>
            <w:vAlign w:val="center"/>
          </w:tcPr>
          <w:p w:rsidR="00F576FE" w:rsidRPr="00B4421A" w:rsidRDefault="00762751" w:rsidP="00B27339">
            <w:pPr>
              <w:autoSpaceDE w:val="0"/>
              <w:autoSpaceDN w:val="0"/>
              <w:adjustRightInd w:val="0"/>
              <w:spacing w:after="0" w:line="240" w:lineRule="auto"/>
              <w:jc w:val="center"/>
              <w:rPr>
                <w:rFonts w:cs="Times New Roman"/>
              </w:rPr>
            </w:pPr>
            <w:r>
              <w:rPr>
                <w:rFonts w:cs="Times New Roman"/>
              </w:rPr>
              <w:t>1</w:t>
            </w:r>
          </w:p>
        </w:tc>
      </w:tr>
      <w:tr w:rsidR="00F576FE" w:rsidRPr="00B4421A" w:rsidTr="00762751">
        <w:trPr>
          <w:cantSplit/>
        </w:trPr>
        <w:tc>
          <w:tcPr>
            <w:tcW w:w="658" w:type="pct"/>
            <w:shd w:val="clear" w:color="auto" w:fill="FFFFFF"/>
            <w:vAlign w:val="center"/>
          </w:tcPr>
          <w:p w:rsidR="00F576FE" w:rsidRPr="00B4421A" w:rsidRDefault="00F576FE" w:rsidP="00B27339">
            <w:pPr>
              <w:autoSpaceDE w:val="0"/>
              <w:autoSpaceDN w:val="0"/>
              <w:adjustRightInd w:val="0"/>
              <w:spacing w:after="0" w:line="320" w:lineRule="atLeast"/>
              <w:ind w:left="60" w:right="60"/>
              <w:rPr>
                <w:rFonts w:cs="Arial"/>
                <w:color w:val="000000"/>
              </w:rPr>
            </w:pPr>
            <w:r w:rsidRPr="00B4421A">
              <w:rPr>
                <w:rFonts w:cs="Arial"/>
                <w:color w:val="000000"/>
              </w:rPr>
              <w:t>Total</w:t>
            </w:r>
          </w:p>
        </w:tc>
        <w:tc>
          <w:tcPr>
            <w:tcW w:w="1085" w:type="pct"/>
            <w:shd w:val="clear" w:color="auto" w:fill="FFFFFF"/>
            <w:vAlign w:val="center"/>
          </w:tcPr>
          <w:p w:rsidR="00F576FE" w:rsidRPr="00B4421A" w:rsidRDefault="00680A88" w:rsidP="00680A88">
            <w:pPr>
              <w:autoSpaceDE w:val="0"/>
              <w:autoSpaceDN w:val="0"/>
              <w:adjustRightInd w:val="0"/>
              <w:spacing w:after="0" w:line="320" w:lineRule="atLeast"/>
              <w:ind w:left="60" w:right="60"/>
              <w:jc w:val="center"/>
              <w:rPr>
                <w:rFonts w:cs="Arial"/>
                <w:color w:val="000000"/>
              </w:rPr>
            </w:pPr>
            <w:r>
              <w:rPr>
                <w:rFonts w:cs="Arial"/>
                <w:color w:val="000000"/>
              </w:rPr>
              <w:t>32</w:t>
            </w:r>
            <w:r w:rsidR="00762751">
              <w:rPr>
                <w:rFonts w:cs="Arial"/>
                <w:color w:val="000000"/>
              </w:rPr>
              <w:t>8</w:t>
            </w: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5" w:type="pct"/>
            <w:shd w:val="clear" w:color="auto" w:fill="FFFFFF"/>
            <w:vAlign w:val="center"/>
          </w:tcPr>
          <w:p w:rsidR="00F576FE" w:rsidRPr="00B4421A" w:rsidRDefault="00F576FE" w:rsidP="00B27339">
            <w:pPr>
              <w:autoSpaceDE w:val="0"/>
              <w:autoSpaceDN w:val="0"/>
              <w:adjustRightInd w:val="0"/>
              <w:spacing w:after="0" w:line="240" w:lineRule="auto"/>
              <w:jc w:val="center"/>
              <w:rPr>
                <w:rFonts w:cs="Times New Roman"/>
              </w:rPr>
            </w:pPr>
          </w:p>
        </w:tc>
        <w:tc>
          <w:tcPr>
            <w:tcW w:w="1087" w:type="pct"/>
            <w:shd w:val="clear" w:color="auto" w:fill="FFFFFF"/>
            <w:vAlign w:val="center"/>
          </w:tcPr>
          <w:p w:rsidR="00F576FE" w:rsidRPr="00B4421A" w:rsidRDefault="00762751" w:rsidP="00B27339">
            <w:pPr>
              <w:autoSpaceDE w:val="0"/>
              <w:autoSpaceDN w:val="0"/>
              <w:adjustRightInd w:val="0"/>
              <w:spacing w:after="0" w:line="240" w:lineRule="auto"/>
              <w:jc w:val="center"/>
              <w:rPr>
                <w:rFonts w:cs="Times New Roman"/>
              </w:rPr>
            </w:pPr>
            <w:r>
              <w:rPr>
                <w:rFonts w:cs="Times New Roman"/>
              </w:rPr>
              <w:t>328</w:t>
            </w:r>
          </w:p>
        </w:tc>
      </w:tr>
    </w:tbl>
    <w:p w:rsidR="00F576FE" w:rsidRDefault="00F576FE"/>
    <w:p w:rsidR="00762751" w:rsidRDefault="00CF1FD9">
      <w:r>
        <w:t xml:space="preserve"> </w:t>
      </w:r>
    </w:p>
    <w:p w:rsidR="00CF1FD9" w:rsidRDefault="00762751">
      <w:r>
        <w:br w:type="page"/>
      </w:r>
      <w:r>
        <w:rPr>
          <w:noProof/>
        </w:rPr>
        <w:lastRenderedPageBreak/>
        <w:drawing>
          <wp:inline distT="0" distB="0" distL="0" distR="0">
            <wp:extent cx="5731510" cy="4583371"/>
            <wp:effectExtent l="19050" t="0" r="254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731510" cy="4583371"/>
                    </a:xfrm>
                    <a:prstGeom prst="rect">
                      <a:avLst/>
                    </a:prstGeom>
                    <a:noFill/>
                    <a:ln w="9525">
                      <a:noFill/>
                      <a:miter lim="800000"/>
                      <a:headEnd/>
                      <a:tailEnd/>
                    </a:ln>
                  </pic:spPr>
                </pic:pic>
              </a:graphicData>
            </a:graphic>
          </wp:inline>
        </w:drawing>
      </w:r>
    </w:p>
    <w:p w:rsidR="00092B2E" w:rsidRDefault="00092B2E" w:rsidP="00092B2E">
      <w:r>
        <w:t>Referrals into stop smoking services from pre-conception and pregnancy services</w:t>
      </w:r>
    </w:p>
    <w:p w:rsidR="00E26E89" w:rsidRDefault="00E26E89"/>
    <w:sectPr w:rsidR="00E26E89" w:rsidSect="00E2774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40" w:rsidRDefault="00E87740" w:rsidP="00363BD9">
      <w:pPr>
        <w:spacing w:after="0" w:line="240" w:lineRule="auto"/>
      </w:pPr>
      <w:r>
        <w:separator/>
      </w:r>
    </w:p>
  </w:endnote>
  <w:endnote w:type="continuationSeparator" w:id="0">
    <w:p w:rsidR="00E87740" w:rsidRDefault="00E87740" w:rsidP="0036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40" w:rsidRDefault="00E87740" w:rsidP="00363BD9">
      <w:pPr>
        <w:spacing w:after="0" w:line="240" w:lineRule="auto"/>
      </w:pPr>
      <w:r>
        <w:separator/>
      </w:r>
    </w:p>
  </w:footnote>
  <w:footnote w:type="continuationSeparator" w:id="0">
    <w:p w:rsidR="00E87740" w:rsidRDefault="00E87740" w:rsidP="0036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BD" w:rsidRPr="00DE49BD" w:rsidRDefault="000C31BE" w:rsidP="00DE49BD">
    <w:pPr>
      <w:pStyle w:val="Heading1"/>
      <w:rPr>
        <w:sz w:val="20"/>
        <w:szCs w:val="20"/>
      </w:rPr>
    </w:pPr>
    <w:r>
      <w:t>Smoking Practice Audit 2012/</w:t>
    </w:r>
    <w:r w:rsidR="00DE49BD">
      <w:t>2013:</w:t>
    </w:r>
    <w:r w:rsidR="00DE49BD" w:rsidRPr="00DE49BD">
      <w:rPr>
        <w:sz w:val="20"/>
        <w:szCs w:val="20"/>
      </w:rPr>
      <w:t xml:space="preserve"> Hertfordshire Local Pharmaceutical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D9"/>
    <w:rsid w:val="00092B2E"/>
    <w:rsid w:val="000A7832"/>
    <w:rsid w:val="000C31BE"/>
    <w:rsid w:val="000E0770"/>
    <w:rsid w:val="001A47FE"/>
    <w:rsid w:val="002C06FB"/>
    <w:rsid w:val="00363BD9"/>
    <w:rsid w:val="00680A88"/>
    <w:rsid w:val="006F6FD9"/>
    <w:rsid w:val="00762751"/>
    <w:rsid w:val="007E3B76"/>
    <w:rsid w:val="0082052A"/>
    <w:rsid w:val="008D5A3C"/>
    <w:rsid w:val="00980587"/>
    <w:rsid w:val="00AB6FAD"/>
    <w:rsid w:val="00B4421A"/>
    <w:rsid w:val="00B55F30"/>
    <w:rsid w:val="00B91C25"/>
    <w:rsid w:val="00BD0DE5"/>
    <w:rsid w:val="00CD263F"/>
    <w:rsid w:val="00CF1FD9"/>
    <w:rsid w:val="00D27BC9"/>
    <w:rsid w:val="00DE49BD"/>
    <w:rsid w:val="00E26E89"/>
    <w:rsid w:val="00E2774B"/>
    <w:rsid w:val="00E87740"/>
    <w:rsid w:val="00ED6183"/>
    <w:rsid w:val="00F03B82"/>
    <w:rsid w:val="00F24B77"/>
    <w:rsid w:val="00F576FE"/>
    <w:rsid w:val="00FB549C"/>
    <w:rsid w:val="00FE4476"/>
    <w:rsid w:val="00FE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D9"/>
    <w:rPr>
      <w:rFonts w:ascii="Tahoma" w:hAnsi="Tahoma" w:cs="Tahoma"/>
      <w:sz w:val="16"/>
      <w:szCs w:val="16"/>
    </w:rPr>
  </w:style>
  <w:style w:type="paragraph" w:styleId="Header">
    <w:name w:val="header"/>
    <w:basedOn w:val="Normal"/>
    <w:link w:val="HeaderChar"/>
    <w:uiPriority w:val="99"/>
    <w:unhideWhenUsed/>
    <w:rsid w:val="0036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BD9"/>
  </w:style>
  <w:style w:type="paragraph" w:styleId="Footer">
    <w:name w:val="footer"/>
    <w:basedOn w:val="Normal"/>
    <w:link w:val="FooterChar"/>
    <w:uiPriority w:val="99"/>
    <w:unhideWhenUsed/>
    <w:rsid w:val="0036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BD9"/>
  </w:style>
  <w:style w:type="character" w:customStyle="1" w:styleId="Heading2Char">
    <w:name w:val="Heading 2 Char"/>
    <w:basedOn w:val="DefaultParagraphFont"/>
    <w:link w:val="Heading2"/>
    <w:uiPriority w:val="9"/>
    <w:rsid w:val="00CD26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D26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D9"/>
    <w:rPr>
      <w:rFonts w:ascii="Tahoma" w:hAnsi="Tahoma" w:cs="Tahoma"/>
      <w:sz w:val="16"/>
      <w:szCs w:val="16"/>
    </w:rPr>
  </w:style>
  <w:style w:type="paragraph" w:styleId="Header">
    <w:name w:val="header"/>
    <w:basedOn w:val="Normal"/>
    <w:link w:val="HeaderChar"/>
    <w:uiPriority w:val="99"/>
    <w:unhideWhenUsed/>
    <w:rsid w:val="0036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BD9"/>
  </w:style>
  <w:style w:type="paragraph" w:styleId="Footer">
    <w:name w:val="footer"/>
    <w:basedOn w:val="Normal"/>
    <w:link w:val="FooterChar"/>
    <w:uiPriority w:val="99"/>
    <w:unhideWhenUsed/>
    <w:rsid w:val="0036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BD9"/>
  </w:style>
  <w:style w:type="character" w:customStyle="1" w:styleId="Heading2Char">
    <w:name w:val="Heading 2 Char"/>
    <w:basedOn w:val="DefaultParagraphFont"/>
    <w:link w:val="Heading2"/>
    <w:uiPriority w:val="9"/>
    <w:rsid w:val="00CD26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D26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Karen Rosenbloom</dc:creator>
  <cp:lastModifiedBy>Sara Norwood</cp:lastModifiedBy>
  <cp:revision>4</cp:revision>
  <cp:lastPrinted>2013-09-23T11:17:00Z</cp:lastPrinted>
  <dcterms:created xsi:type="dcterms:W3CDTF">2013-09-18T08:54:00Z</dcterms:created>
  <dcterms:modified xsi:type="dcterms:W3CDTF">2013-09-23T11:18:00Z</dcterms:modified>
</cp:coreProperties>
</file>