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F2E3" w14:textId="0FA44287" w:rsidR="00E76C80" w:rsidRDefault="006261CA" w:rsidP="00DF0DFC">
      <w:pPr>
        <w:pStyle w:val="BodyText"/>
        <w:spacing w:before="2"/>
        <w:ind w:left="284" w:hanging="284"/>
        <w:rPr>
          <w:sz w:val="29"/>
        </w:rPr>
      </w:pPr>
      <w:r w:rsidRPr="00EC74BE">
        <w:rPr>
          <w:sz w:val="29"/>
        </w:rPr>
        <w:t xml:space="preserve">SOP </w:t>
      </w:r>
      <w:r w:rsidR="00A13443">
        <w:rPr>
          <w:sz w:val="29"/>
        </w:rPr>
        <w:t>-</w:t>
      </w:r>
      <w:r w:rsidRPr="00EC74BE">
        <w:rPr>
          <w:sz w:val="29"/>
        </w:rPr>
        <w:t xml:space="preserve"> Community Pha</w:t>
      </w:r>
      <w:r w:rsidR="00A13443">
        <w:rPr>
          <w:sz w:val="29"/>
        </w:rPr>
        <w:t xml:space="preserve">rmacy </w:t>
      </w:r>
      <w:r w:rsidR="00913B14">
        <w:rPr>
          <w:sz w:val="29"/>
        </w:rPr>
        <w:t>U</w:t>
      </w:r>
      <w:r w:rsidR="00556D5D">
        <w:rPr>
          <w:sz w:val="29"/>
        </w:rPr>
        <w:t>rinary tract infection (</w:t>
      </w:r>
      <w:r w:rsidR="00A13443">
        <w:rPr>
          <w:sz w:val="29"/>
        </w:rPr>
        <w:t>UTI</w:t>
      </w:r>
      <w:r w:rsidR="00556D5D">
        <w:rPr>
          <w:sz w:val="29"/>
        </w:rPr>
        <w:t>)</w:t>
      </w:r>
      <w:r w:rsidR="00A13443">
        <w:rPr>
          <w:sz w:val="29"/>
        </w:rPr>
        <w:t xml:space="preserve"> </w:t>
      </w:r>
      <w:r w:rsidR="00A551E0">
        <w:rPr>
          <w:sz w:val="29"/>
        </w:rPr>
        <w:t>s</w:t>
      </w:r>
      <w:r w:rsidR="00A13443">
        <w:rPr>
          <w:sz w:val="29"/>
        </w:rPr>
        <w:t>ervice</w:t>
      </w:r>
    </w:p>
    <w:p w14:paraId="0298E560" w14:textId="77777777" w:rsidR="00DC18F1" w:rsidRDefault="00DC18F1" w:rsidP="00DF0DFC">
      <w:pPr>
        <w:pStyle w:val="BodyText"/>
        <w:spacing w:before="2"/>
        <w:ind w:left="284" w:hanging="284"/>
        <w:rPr>
          <w:sz w:val="29"/>
        </w:rPr>
      </w:pPr>
    </w:p>
    <w:p w14:paraId="2E812D0D" w14:textId="77777777" w:rsidR="00DC18F1" w:rsidRPr="00556D5D" w:rsidRDefault="00DC18F1" w:rsidP="00DC18F1">
      <w:pPr>
        <w:pStyle w:val="BodyText"/>
        <w:spacing w:before="2"/>
        <w:rPr>
          <w:b/>
          <w:bCs/>
          <w:sz w:val="20"/>
          <w:szCs w:val="10"/>
        </w:rPr>
      </w:pPr>
      <w:r w:rsidRPr="00556D5D">
        <w:rPr>
          <w:b/>
          <w:bCs/>
          <w:sz w:val="20"/>
          <w:szCs w:val="10"/>
        </w:rPr>
        <w:t>This SOP should be read by anyone assisting or delivering the UTI service.</w:t>
      </w:r>
    </w:p>
    <w:p w14:paraId="6950F443" w14:textId="7692FFF4" w:rsidR="006261CA" w:rsidRPr="00EC74BE" w:rsidRDefault="006261CA" w:rsidP="00DC18F1">
      <w:pPr>
        <w:pStyle w:val="BodyText"/>
        <w:spacing w:before="2"/>
        <w:rPr>
          <w:sz w:val="29"/>
        </w:rPr>
      </w:pPr>
    </w:p>
    <w:p w14:paraId="70A50851" w14:textId="3DBECCA3" w:rsidR="00BD3318" w:rsidRPr="00426D96" w:rsidRDefault="0031518D" w:rsidP="006D55E9">
      <w:pPr>
        <w:pStyle w:val="BodyText"/>
        <w:spacing w:before="2"/>
        <w:rPr>
          <w:sz w:val="16"/>
          <w:szCs w:val="16"/>
        </w:rPr>
      </w:pPr>
      <w:r w:rsidRPr="00426D96">
        <w:rPr>
          <w:sz w:val="16"/>
          <w:szCs w:val="16"/>
        </w:rPr>
        <w:t>*Disclaimer* This SOP has been designed to be used in a working pharmacy environment, however, we recommend that the SOP is tailored to reflect processes in your pharmacy where appropriate</w:t>
      </w:r>
      <w:r w:rsidR="00DC18F1" w:rsidRPr="00426D96">
        <w:rPr>
          <w:sz w:val="16"/>
          <w:szCs w:val="16"/>
        </w:rPr>
        <w:t>. W</w:t>
      </w:r>
      <w:r w:rsidRPr="00426D96">
        <w:rPr>
          <w:sz w:val="16"/>
          <w:szCs w:val="16"/>
        </w:rPr>
        <w:t xml:space="preserve">e take no responsibility or liability for </w:t>
      </w:r>
      <w:r w:rsidR="00426D96" w:rsidRPr="00426D96">
        <w:rPr>
          <w:sz w:val="16"/>
          <w:szCs w:val="16"/>
        </w:rPr>
        <w:t>its</w:t>
      </w:r>
      <w:r w:rsidRPr="00426D96">
        <w:rPr>
          <w:sz w:val="16"/>
          <w:szCs w:val="16"/>
        </w:rPr>
        <w:t xml:space="preserve"> contents.</w:t>
      </w:r>
    </w:p>
    <w:p w14:paraId="2D85563F" w14:textId="2746DFBC" w:rsidR="00BD3318" w:rsidRDefault="00BD3318" w:rsidP="00BD3318">
      <w:pPr>
        <w:spacing w:before="250" w:after="240"/>
        <w:rPr>
          <w:color w:val="005A75"/>
          <w:sz w:val="26"/>
        </w:rPr>
      </w:pPr>
      <w:r>
        <w:rPr>
          <w:color w:val="005A75"/>
          <w:sz w:val="26"/>
        </w:rPr>
        <w:t>Aim of the scheme</w:t>
      </w:r>
    </w:p>
    <w:p w14:paraId="3880EB76" w14:textId="0C15F6BC" w:rsidR="00BD3318" w:rsidRPr="00BD3318" w:rsidRDefault="00BD3318" w:rsidP="00BD3318">
      <w:pPr>
        <w:spacing w:before="250" w:after="240"/>
        <w:rPr>
          <w:b/>
          <w:bCs/>
          <w:color w:val="005A75"/>
          <w:sz w:val="18"/>
          <w:szCs w:val="18"/>
        </w:rPr>
      </w:pPr>
      <w:r w:rsidRPr="00BD3318">
        <w:rPr>
          <w:b/>
          <w:bCs/>
          <w:sz w:val="18"/>
          <w:szCs w:val="18"/>
        </w:rPr>
        <w:t>For the treatment of Simple Lower urinary tract infection (UTI) in non-pregnant women aged 16 years to 64</w:t>
      </w:r>
      <w:r w:rsidR="001328C8">
        <w:rPr>
          <w:b/>
          <w:bCs/>
          <w:sz w:val="18"/>
          <w:szCs w:val="18"/>
        </w:rPr>
        <w:t xml:space="preserve"> </w:t>
      </w:r>
      <w:r w:rsidR="001328C8" w:rsidRPr="001328C8">
        <w:rPr>
          <w:b/>
          <w:bCs/>
          <w:sz w:val="18"/>
          <w:szCs w:val="18"/>
        </w:rPr>
        <w:t>in the absence of current or recent fever (within past 48 hours)</w:t>
      </w:r>
    </w:p>
    <w:p w14:paraId="15CCE770" w14:textId="6E0855EA" w:rsidR="00BD3318" w:rsidRDefault="00BD3318" w:rsidP="00BD3318">
      <w:pPr>
        <w:spacing w:before="250" w:after="240"/>
        <w:rPr>
          <w:sz w:val="18"/>
          <w:szCs w:val="18"/>
        </w:rPr>
      </w:pPr>
      <w:r w:rsidRPr="00BD3318">
        <w:rPr>
          <w:sz w:val="18"/>
          <w:szCs w:val="18"/>
        </w:rPr>
        <w:t>The overall aim of the scheme is to ensure that patients, where appropriate, can be referred to a pharmacy and consult with a pharmacist, can access self-care advice, or can be supplied with antibiotics for the treatment of uncomplicated urinary tract infections</w:t>
      </w:r>
      <w:r w:rsidR="006B5B48">
        <w:rPr>
          <w:sz w:val="18"/>
          <w:szCs w:val="18"/>
        </w:rPr>
        <w:t>.  This service is only available in</w:t>
      </w:r>
      <w:r w:rsidRPr="00BD3318">
        <w:rPr>
          <w:sz w:val="18"/>
          <w:szCs w:val="18"/>
        </w:rPr>
        <w:t xml:space="preserve"> women aged 16 years to 64 years if clinically indicated and </w:t>
      </w:r>
      <w:r w:rsidR="006B5B48">
        <w:rPr>
          <w:sz w:val="18"/>
          <w:szCs w:val="18"/>
        </w:rPr>
        <w:t xml:space="preserve">who </w:t>
      </w:r>
      <w:r w:rsidRPr="00BD3318">
        <w:rPr>
          <w:sz w:val="18"/>
          <w:szCs w:val="18"/>
        </w:rPr>
        <w:t>have no contraindications</w:t>
      </w:r>
      <w:r>
        <w:rPr>
          <w:sz w:val="18"/>
          <w:szCs w:val="18"/>
        </w:rPr>
        <w:t>.</w:t>
      </w:r>
      <w:r w:rsidR="007C234D">
        <w:rPr>
          <w:sz w:val="18"/>
          <w:szCs w:val="18"/>
        </w:rPr>
        <w:t xml:space="preserve"> This service is not available to Care Home patients. </w:t>
      </w:r>
    </w:p>
    <w:p w14:paraId="5CF8F434" w14:textId="4EE0146E" w:rsidR="00BD3318" w:rsidRDefault="00BD3318" w:rsidP="00BD3318">
      <w:pPr>
        <w:spacing w:before="250" w:after="240"/>
        <w:rPr>
          <w:color w:val="005A75"/>
          <w:sz w:val="26"/>
        </w:rPr>
      </w:pPr>
      <w:r>
        <w:rPr>
          <w:color w:val="005A75"/>
          <w:sz w:val="26"/>
        </w:rPr>
        <w:t>Patient eligibility</w:t>
      </w:r>
    </w:p>
    <w:p w14:paraId="19E2AB1A" w14:textId="00EE7916" w:rsidR="00BD3318" w:rsidRDefault="00BD3318" w:rsidP="00BD3318">
      <w:pPr>
        <w:spacing w:before="250" w:after="240"/>
        <w:rPr>
          <w:sz w:val="18"/>
          <w:szCs w:val="18"/>
        </w:rPr>
      </w:pPr>
      <w:r w:rsidRPr="00BD3318">
        <w:rPr>
          <w:sz w:val="18"/>
          <w:szCs w:val="18"/>
        </w:rPr>
        <w:t xml:space="preserve">This scheme is available to patients who are registered with a General Practitioner (GP), contracted to (Hertfordshire and West Essex </w:t>
      </w:r>
      <w:r w:rsidR="006B5B48">
        <w:rPr>
          <w:sz w:val="18"/>
          <w:szCs w:val="18"/>
        </w:rPr>
        <w:t>(</w:t>
      </w:r>
      <w:r w:rsidR="006B5B48" w:rsidRPr="00BD3318">
        <w:rPr>
          <w:sz w:val="18"/>
          <w:szCs w:val="18"/>
        </w:rPr>
        <w:t>HWE</w:t>
      </w:r>
      <w:r w:rsidR="006B5B48">
        <w:rPr>
          <w:sz w:val="18"/>
          <w:szCs w:val="18"/>
        </w:rPr>
        <w:t>)</w:t>
      </w:r>
      <w:r w:rsidR="006B5B48" w:rsidRPr="00BD3318">
        <w:rPr>
          <w:sz w:val="18"/>
          <w:szCs w:val="18"/>
        </w:rPr>
        <w:t xml:space="preserve"> </w:t>
      </w:r>
      <w:r w:rsidRPr="00BD3318">
        <w:rPr>
          <w:sz w:val="18"/>
          <w:szCs w:val="18"/>
        </w:rPr>
        <w:t>ICB.</w:t>
      </w:r>
    </w:p>
    <w:p w14:paraId="58F0F0A9" w14:textId="26C8E510" w:rsidR="00556D5D" w:rsidRDefault="00BD3318" w:rsidP="00BD3318">
      <w:pPr>
        <w:spacing w:before="250" w:after="240"/>
        <w:rPr>
          <w:sz w:val="18"/>
          <w:szCs w:val="18"/>
        </w:rPr>
      </w:pPr>
      <w:r w:rsidRPr="00BD3318">
        <w:rPr>
          <w:sz w:val="18"/>
          <w:szCs w:val="18"/>
        </w:rPr>
        <w:t>Patients will be asked by the pharmacy to confirm their registration with the GP Practice</w:t>
      </w:r>
      <w:r w:rsidR="006A08B6">
        <w:rPr>
          <w:sz w:val="18"/>
          <w:szCs w:val="18"/>
        </w:rPr>
        <w:t>, this also includes temporary registration,</w:t>
      </w:r>
      <w:r w:rsidRPr="00BD3318">
        <w:rPr>
          <w:sz w:val="18"/>
          <w:szCs w:val="18"/>
        </w:rPr>
        <w:t xml:space="preserve"> before any supply is made. Pharmacists are encouraged to use Summary Care Records (SCRs) to check the patient’s GP practice if there is uncertainty or where they need to check the practice, the PDS look up on PharmOutcomes can also support this. </w:t>
      </w:r>
    </w:p>
    <w:p w14:paraId="46C31509" w14:textId="0B63AFA2" w:rsidR="00A3769C" w:rsidRDefault="00BD3318" w:rsidP="0091015D">
      <w:pPr>
        <w:spacing w:before="250" w:after="240"/>
        <w:rPr>
          <w:sz w:val="18"/>
          <w:szCs w:val="18"/>
        </w:rPr>
      </w:pPr>
      <w:r w:rsidRPr="00BD3318">
        <w:rPr>
          <w:sz w:val="18"/>
          <w:szCs w:val="18"/>
        </w:rPr>
        <w:t>Patients not registered with a GP practice as described above, should be advised appropriately and if antibiotic treatment or other Prescription Only Medicine (POM) is thought to be required, they should be signposted to an appropriate provide</w:t>
      </w:r>
      <w:r w:rsidR="00556D5D">
        <w:rPr>
          <w:sz w:val="18"/>
          <w:szCs w:val="18"/>
        </w:rPr>
        <w:t>r.</w:t>
      </w:r>
    </w:p>
    <w:p w14:paraId="0DE53AA9" w14:textId="77777777" w:rsidR="0091015D" w:rsidRPr="0091015D" w:rsidRDefault="0091015D" w:rsidP="0091015D">
      <w:pPr>
        <w:spacing w:before="250" w:after="240"/>
        <w:rPr>
          <w:color w:val="005A75"/>
          <w:sz w:val="18"/>
          <w:szCs w:val="18"/>
        </w:rPr>
      </w:pPr>
    </w:p>
    <w:p w14:paraId="0EE00282" w14:textId="37738607" w:rsidR="00E76C80" w:rsidRPr="00A3769C" w:rsidRDefault="00EE1D6D" w:rsidP="00151564">
      <w:pPr>
        <w:pStyle w:val="ListParagraph"/>
        <w:numPr>
          <w:ilvl w:val="0"/>
          <w:numId w:val="8"/>
        </w:numPr>
        <w:spacing w:before="250" w:after="240"/>
        <w:rPr>
          <w:color w:val="005A75"/>
          <w:sz w:val="26"/>
        </w:rPr>
      </w:pPr>
      <w:r w:rsidRPr="00301F2C">
        <w:rPr>
          <w:color w:val="005A75"/>
          <w:sz w:val="26"/>
        </w:rPr>
        <w:t>Pr</w:t>
      </w:r>
      <w:r w:rsidR="00BF2833" w:rsidRPr="00301F2C">
        <w:rPr>
          <w:color w:val="005A75"/>
          <w:sz w:val="26"/>
        </w:rPr>
        <w:t>ep</w:t>
      </w:r>
      <w:r w:rsidR="00BF2833" w:rsidRPr="00A3769C">
        <w:rPr>
          <w:color w:val="005A75"/>
          <w:sz w:val="26"/>
        </w:rPr>
        <w:t>aration</w:t>
      </w:r>
    </w:p>
    <w:p w14:paraId="56B6DE74" w14:textId="684DB3A5" w:rsidR="00D7520B" w:rsidRPr="006667CC" w:rsidRDefault="008913A6" w:rsidP="006667CC">
      <w:pPr>
        <w:tabs>
          <w:tab w:val="left" w:pos="1194"/>
        </w:tabs>
        <w:spacing w:after="240"/>
        <w:rPr>
          <w:b/>
          <w:bCs/>
          <w:color w:val="3B3B3A"/>
          <w:w w:val="105"/>
          <w:position w:val="1"/>
          <w:sz w:val="18"/>
        </w:rPr>
      </w:pPr>
      <w:r w:rsidRPr="006667CC">
        <w:rPr>
          <w:b/>
          <w:bCs/>
          <w:color w:val="3B3B3A"/>
          <w:w w:val="105"/>
          <w:sz w:val="18"/>
        </w:rPr>
        <w:t xml:space="preserve">Check that your pharmacy can provide the service: </w:t>
      </w:r>
    </w:p>
    <w:p w14:paraId="6E7D26A1" w14:textId="1F3E1782" w:rsidR="006331DC" w:rsidRDefault="006331DC" w:rsidP="00151564">
      <w:pPr>
        <w:pStyle w:val="ListParagraph"/>
        <w:numPr>
          <w:ilvl w:val="1"/>
          <w:numId w:val="1"/>
        </w:numPr>
        <w:tabs>
          <w:tab w:val="left" w:pos="1194"/>
        </w:tabs>
        <w:spacing w:after="240"/>
        <w:rPr>
          <w:color w:val="3B3B3A"/>
          <w:w w:val="105"/>
          <w:position w:val="1"/>
          <w:sz w:val="18"/>
        </w:rPr>
      </w:pPr>
      <w:r>
        <w:rPr>
          <w:color w:val="3B3B3A"/>
          <w:w w:val="105"/>
          <w:position w:val="1"/>
          <w:sz w:val="18"/>
        </w:rPr>
        <w:t>You are providing all Essential services and meeting Clinical Governance requirements.</w:t>
      </w:r>
    </w:p>
    <w:p w14:paraId="32DA1958" w14:textId="2FEE8952" w:rsidR="001066EF" w:rsidRPr="001066EF" w:rsidRDefault="001066EF" w:rsidP="00151564">
      <w:pPr>
        <w:pStyle w:val="ListParagraph"/>
        <w:numPr>
          <w:ilvl w:val="1"/>
          <w:numId w:val="1"/>
        </w:numPr>
        <w:tabs>
          <w:tab w:val="left" w:pos="1194"/>
        </w:tabs>
        <w:spacing w:after="240"/>
        <w:rPr>
          <w:color w:val="3B3B3A"/>
          <w:w w:val="105"/>
          <w:position w:val="1"/>
          <w:sz w:val="18"/>
        </w:rPr>
      </w:pPr>
      <w:r>
        <w:rPr>
          <w:color w:val="3B3B3A"/>
          <w:w w:val="105"/>
          <w:position w:val="1"/>
          <w:sz w:val="18"/>
        </w:rPr>
        <w:t xml:space="preserve">Pharmacists can access the </w:t>
      </w:r>
      <w:r w:rsidR="006835FB">
        <w:rPr>
          <w:color w:val="3B3B3A"/>
          <w:w w:val="105"/>
          <w:position w:val="1"/>
          <w:sz w:val="18"/>
        </w:rPr>
        <w:t xml:space="preserve">NHS </w:t>
      </w:r>
      <w:r>
        <w:rPr>
          <w:color w:val="3B3B3A"/>
          <w:w w:val="105"/>
          <w:position w:val="1"/>
          <w:sz w:val="18"/>
        </w:rPr>
        <w:t xml:space="preserve">Summary Care Record (SCR). </w:t>
      </w:r>
    </w:p>
    <w:p w14:paraId="3B621DB8" w14:textId="39B8608A" w:rsidR="008A5A47" w:rsidRDefault="008A5A47" w:rsidP="00151564">
      <w:pPr>
        <w:pStyle w:val="ListParagraph"/>
        <w:numPr>
          <w:ilvl w:val="1"/>
          <w:numId w:val="1"/>
        </w:numPr>
        <w:tabs>
          <w:tab w:val="left" w:pos="1194"/>
        </w:tabs>
        <w:spacing w:after="240"/>
        <w:rPr>
          <w:color w:val="3B3B3A"/>
          <w:w w:val="105"/>
          <w:position w:val="1"/>
          <w:sz w:val="18"/>
        </w:rPr>
      </w:pPr>
      <w:r w:rsidRPr="00EC74BE">
        <w:rPr>
          <w:color w:val="3B3B3A"/>
          <w:w w:val="105"/>
          <w:position w:val="1"/>
          <w:sz w:val="18"/>
        </w:rPr>
        <w:t>All pharmacists have read the Service Specification</w:t>
      </w:r>
      <w:r w:rsidR="00864CCD">
        <w:rPr>
          <w:color w:val="3B3B3A"/>
          <w:w w:val="105"/>
          <w:position w:val="1"/>
          <w:sz w:val="18"/>
        </w:rPr>
        <w:t>.</w:t>
      </w:r>
      <w:r w:rsidR="0086104F">
        <w:rPr>
          <w:color w:val="3B3B3A"/>
          <w:w w:val="105"/>
          <w:position w:val="1"/>
          <w:sz w:val="18"/>
        </w:rPr>
        <w:t xml:space="preserve"> </w:t>
      </w:r>
    </w:p>
    <w:p w14:paraId="2744677C" w14:textId="77777777" w:rsidR="00DF0DFC" w:rsidRDefault="00DF0DFC" w:rsidP="00151564">
      <w:pPr>
        <w:pStyle w:val="ListParagraph"/>
        <w:numPr>
          <w:ilvl w:val="1"/>
          <w:numId w:val="1"/>
        </w:numPr>
        <w:tabs>
          <w:tab w:val="left" w:pos="1194"/>
        </w:tabs>
        <w:spacing w:after="240"/>
        <w:rPr>
          <w:color w:val="3B3B3A"/>
          <w:w w:val="105"/>
          <w:position w:val="1"/>
          <w:sz w:val="18"/>
        </w:rPr>
      </w:pPr>
      <w:r w:rsidRPr="00EC74BE">
        <w:rPr>
          <w:color w:val="3B3B3A"/>
          <w:w w:val="105"/>
          <w:position w:val="1"/>
          <w:sz w:val="18"/>
        </w:rPr>
        <w:t xml:space="preserve">All relevant staff have read and signed this SOP. </w:t>
      </w:r>
    </w:p>
    <w:p w14:paraId="0224E021" w14:textId="28B43A2A" w:rsidR="00BA02EF" w:rsidRDefault="00426D96" w:rsidP="00BA02EF">
      <w:pPr>
        <w:pStyle w:val="ListParagraph"/>
        <w:numPr>
          <w:ilvl w:val="1"/>
          <w:numId w:val="1"/>
        </w:numPr>
        <w:tabs>
          <w:tab w:val="left" w:pos="1194"/>
        </w:tabs>
        <w:spacing w:after="240"/>
        <w:rPr>
          <w:color w:val="3B3B3A"/>
          <w:w w:val="105"/>
          <w:position w:val="1"/>
          <w:sz w:val="18"/>
        </w:rPr>
      </w:pPr>
      <w:r>
        <w:rPr>
          <w:color w:val="3B3B3A"/>
          <w:w w:val="105"/>
          <w:position w:val="1"/>
          <w:sz w:val="18"/>
        </w:rPr>
        <w:t>The registered healthcare professional authorised to operate under this PGD must have completed all relevant training as detailed in the service specification.</w:t>
      </w:r>
    </w:p>
    <w:p w14:paraId="688DC795" w14:textId="77777777" w:rsidR="00900C64" w:rsidRDefault="00900C64" w:rsidP="00900C64">
      <w:pPr>
        <w:tabs>
          <w:tab w:val="left" w:pos="1194"/>
        </w:tabs>
        <w:spacing w:after="240"/>
        <w:rPr>
          <w:color w:val="3B3B3A"/>
          <w:w w:val="105"/>
          <w:position w:val="1"/>
          <w:sz w:val="18"/>
        </w:rPr>
      </w:pPr>
    </w:p>
    <w:p w14:paraId="253671E2" w14:textId="77777777" w:rsidR="00900C64" w:rsidRDefault="00900C64" w:rsidP="00900C64">
      <w:pPr>
        <w:tabs>
          <w:tab w:val="left" w:pos="1194"/>
        </w:tabs>
        <w:spacing w:after="240"/>
        <w:rPr>
          <w:color w:val="3B3B3A"/>
          <w:w w:val="105"/>
          <w:position w:val="1"/>
          <w:sz w:val="18"/>
        </w:rPr>
      </w:pPr>
    </w:p>
    <w:p w14:paraId="1DF5D779" w14:textId="77777777" w:rsidR="00900C64" w:rsidRPr="00900C64" w:rsidRDefault="00900C64" w:rsidP="00900C64">
      <w:pPr>
        <w:tabs>
          <w:tab w:val="left" w:pos="1194"/>
        </w:tabs>
        <w:spacing w:after="240"/>
        <w:rPr>
          <w:color w:val="3B3B3A"/>
          <w:w w:val="105"/>
          <w:position w:val="1"/>
          <w:sz w:val="18"/>
        </w:rPr>
      </w:pPr>
    </w:p>
    <w:p w14:paraId="5FC014ED" w14:textId="0C8DA602" w:rsidR="00BF2833" w:rsidRPr="00A3769C" w:rsidRDefault="00BF2833" w:rsidP="00151564">
      <w:pPr>
        <w:pStyle w:val="ListParagraph"/>
        <w:numPr>
          <w:ilvl w:val="0"/>
          <w:numId w:val="8"/>
        </w:numPr>
        <w:spacing w:before="250" w:after="240"/>
        <w:rPr>
          <w:color w:val="005A75"/>
          <w:sz w:val="26"/>
        </w:rPr>
      </w:pPr>
      <w:r w:rsidRPr="00E42C7A">
        <w:rPr>
          <w:color w:val="005A75"/>
          <w:sz w:val="26"/>
        </w:rPr>
        <w:lastRenderedPageBreak/>
        <w:t>Pro</w:t>
      </w:r>
      <w:r w:rsidRPr="00A3769C">
        <w:rPr>
          <w:color w:val="005A75"/>
          <w:sz w:val="26"/>
        </w:rPr>
        <w:t>cess</w:t>
      </w:r>
    </w:p>
    <w:p w14:paraId="452F229E" w14:textId="79E8CA63" w:rsidR="00595B80" w:rsidRDefault="00122636" w:rsidP="00DF0DFC">
      <w:pPr>
        <w:tabs>
          <w:tab w:val="left" w:pos="1194"/>
        </w:tabs>
        <w:spacing w:after="240"/>
        <w:rPr>
          <w:color w:val="3B3B3A"/>
          <w:w w:val="105"/>
          <w:sz w:val="18"/>
        </w:rPr>
      </w:pPr>
      <w:r w:rsidRPr="00D7520B">
        <w:rPr>
          <w:color w:val="3B3B3A"/>
          <w:w w:val="105"/>
          <w:sz w:val="18"/>
        </w:rPr>
        <w:t xml:space="preserve">You may </w:t>
      </w:r>
      <w:r w:rsidR="002F5A04">
        <w:rPr>
          <w:color w:val="3B3B3A"/>
          <w:w w:val="105"/>
          <w:sz w:val="18"/>
        </w:rPr>
        <w:t xml:space="preserve">recruit patients </w:t>
      </w:r>
      <w:r w:rsidR="009E7287">
        <w:rPr>
          <w:color w:val="3B3B3A"/>
          <w:w w:val="105"/>
          <w:sz w:val="18"/>
        </w:rPr>
        <w:t xml:space="preserve">into the service </w:t>
      </w:r>
      <w:r w:rsidR="002F5A04">
        <w:rPr>
          <w:color w:val="3B3B3A"/>
          <w:w w:val="105"/>
          <w:sz w:val="18"/>
        </w:rPr>
        <w:t>via CPCS</w:t>
      </w:r>
      <w:r w:rsidR="009E7287">
        <w:rPr>
          <w:color w:val="3B3B3A"/>
          <w:w w:val="105"/>
          <w:sz w:val="18"/>
        </w:rPr>
        <w:t>, via informal referrals from other providers</w:t>
      </w:r>
      <w:r w:rsidR="006B5B48">
        <w:rPr>
          <w:color w:val="3B3B3A"/>
          <w:w w:val="105"/>
          <w:sz w:val="18"/>
        </w:rPr>
        <w:t xml:space="preserve">, </w:t>
      </w:r>
      <w:r w:rsidR="009E7287">
        <w:rPr>
          <w:color w:val="3B3B3A"/>
          <w:w w:val="105"/>
          <w:sz w:val="18"/>
        </w:rPr>
        <w:t>when</w:t>
      </w:r>
      <w:r w:rsidRPr="00D7520B">
        <w:rPr>
          <w:color w:val="3B3B3A"/>
          <w:w w:val="105"/>
          <w:sz w:val="18"/>
        </w:rPr>
        <w:t xml:space="preserve"> a patient </w:t>
      </w:r>
      <w:r w:rsidR="00DB3FE3" w:rsidRPr="00D7520B">
        <w:rPr>
          <w:color w:val="3B3B3A"/>
          <w:w w:val="105"/>
          <w:sz w:val="18"/>
        </w:rPr>
        <w:t>telephon</w:t>
      </w:r>
      <w:r w:rsidR="009E7287">
        <w:rPr>
          <w:color w:val="3B3B3A"/>
          <w:w w:val="105"/>
          <w:sz w:val="18"/>
        </w:rPr>
        <w:t>es</w:t>
      </w:r>
      <w:r w:rsidRPr="00D7520B">
        <w:rPr>
          <w:color w:val="3B3B3A"/>
          <w:w w:val="105"/>
          <w:sz w:val="18"/>
        </w:rPr>
        <w:t xml:space="preserve"> the pharmacy or </w:t>
      </w:r>
      <w:r w:rsidR="009E7287">
        <w:rPr>
          <w:color w:val="3B3B3A"/>
          <w:w w:val="105"/>
          <w:sz w:val="18"/>
        </w:rPr>
        <w:t>when</w:t>
      </w:r>
      <w:r w:rsidRPr="00D7520B">
        <w:rPr>
          <w:color w:val="3B3B3A"/>
          <w:w w:val="105"/>
          <w:sz w:val="18"/>
        </w:rPr>
        <w:t xml:space="preserve"> a patient </w:t>
      </w:r>
      <w:r w:rsidR="009E7287">
        <w:rPr>
          <w:color w:val="3B3B3A"/>
          <w:w w:val="105"/>
          <w:sz w:val="18"/>
        </w:rPr>
        <w:t>walks</w:t>
      </w:r>
      <w:r w:rsidRPr="00D7520B">
        <w:rPr>
          <w:color w:val="3B3B3A"/>
          <w:w w:val="105"/>
          <w:sz w:val="18"/>
        </w:rPr>
        <w:t xml:space="preserve"> into the pharmacy.</w:t>
      </w:r>
    </w:p>
    <w:p w14:paraId="5D1524A0" w14:textId="13AB4398" w:rsidR="00B44758" w:rsidRPr="00DC18F1" w:rsidRDefault="00286E44" w:rsidP="00DC18F1">
      <w:pPr>
        <w:pStyle w:val="ListParagraph"/>
        <w:numPr>
          <w:ilvl w:val="0"/>
          <w:numId w:val="13"/>
        </w:numPr>
        <w:tabs>
          <w:tab w:val="left" w:pos="1194"/>
        </w:tabs>
        <w:spacing w:after="240"/>
        <w:rPr>
          <w:b/>
          <w:bCs/>
          <w:color w:val="3B3B3A"/>
          <w:w w:val="105"/>
          <w:sz w:val="18"/>
        </w:rPr>
      </w:pPr>
      <w:r>
        <w:rPr>
          <w:b/>
          <w:bCs/>
          <w:color w:val="3B3B3A"/>
          <w:w w:val="105"/>
          <w:sz w:val="18"/>
        </w:rPr>
        <w:t>Recruit patient into the service.</w:t>
      </w:r>
    </w:p>
    <w:p w14:paraId="741CA2F4" w14:textId="5F9DE8B5" w:rsidR="006934CD" w:rsidRPr="00B27DA6" w:rsidRDefault="003B094F" w:rsidP="00151564">
      <w:pPr>
        <w:pStyle w:val="ListParagraph"/>
        <w:numPr>
          <w:ilvl w:val="0"/>
          <w:numId w:val="13"/>
        </w:numPr>
        <w:tabs>
          <w:tab w:val="left" w:pos="1194"/>
        </w:tabs>
        <w:spacing w:after="240"/>
        <w:rPr>
          <w:b/>
          <w:bCs/>
          <w:color w:val="3B3B3A"/>
          <w:w w:val="105"/>
          <w:sz w:val="18"/>
        </w:rPr>
      </w:pPr>
      <w:r w:rsidRPr="00B27DA6">
        <w:rPr>
          <w:b/>
          <w:bCs/>
          <w:color w:val="3B3B3A"/>
          <w:w w:val="105"/>
          <w:sz w:val="18"/>
        </w:rPr>
        <w:t>I</w:t>
      </w:r>
      <w:r w:rsidR="008A5A47" w:rsidRPr="00B27DA6">
        <w:rPr>
          <w:b/>
          <w:bCs/>
          <w:color w:val="3B3B3A"/>
          <w:w w:val="105"/>
          <w:sz w:val="18"/>
        </w:rPr>
        <w:t xml:space="preserve">f you speak to the patient on the </w:t>
      </w:r>
      <w:r w:rsidRPr="00B27DA6">
        <w:rPr>
          <w:b/>
          <w:bCs/>
          <w:color w:val="3B3B3A"/>
          <w:w w:val="105"/>
          <w:sz w:val="18"/>
        </w:rPr>
        <w:t>telephone</w:t>
      </w:r>
      <w:r w:rsidR="006835FB" w:rsidRPr="00B27DA6">
        <w:rPr>
          <w:b/>
          <w:bCs/>
          <w:color w:val="3B3B3A"/>
          <w:w w:val="105"/>
          <w:sz w:val="18"/>
        </w:rPr>
        <w:t>,</w:t>
      </w:r>
      <w:r w:rsidR="00A3769C" w:rsidRPr="00B27DA6">
        <w:rPr>
          <w:b/>
          <w:bCs/>
          <w:color w:val="3B3B3A"/>
          <w:w w:val="105"/>
          <w:sz w:val="18"/>
        </w:rPr>
        <w:t xml:space="preserve"> determine patient’s need and, if appropriate, arrange a time for them to come to the pharmacy.</w:t>
      </w:r>
      <w:r w:rsidR="006934CD" w:rsidRPr="00B27DA6">
        <w:rPr>
          <w:b/>
          <w:bCs/>
          <w:color w:val="3B3B3A"/>
          <w:w w:val="105"/>
          <w:sz w:val="18"/>
        </w:rPr>
        <w:t xml:space="preserve"> </w:t>
      </w:r>
    </w:p>
    <w:p w14:paraId="637BED1D" w14:textId="3266FD0A" w:rsidR="006934CD" w:rsidRPr="00EF2AA2" w:rsidRDefault="00EF196A" w:rsidP="00EF2AA2">
      <w:pPr>
        <w:pStyle w:val="ListParagraph"/>
        <w:numPr>
          <w:ilvl w:val="0"/>
          <w:numId w:val="13"/>
        </w:numPr>
        <w:tabs>
          <w:tab w:val="left" w:pos="1194"/>
        </w:tabs>
        <w:spacing w:after="240"/>
        <w:rPr>
          <w:b/>
          <w:bCs/>
          <w:sz w:val="18"/>
        </w:rPr>
      </w:pPr>
      <w:r>
        <w:rPr>
          <w:b/>
          <w:bCs/>
          <w:color w:val="3B3B3A"/>
          <w:w w:val="105"/>
          <w:sz w:val="18"/>
        </w:rPr>
        <w:t>C</w:t>
      </w:r>
      <w:r w:rsidR="00EE1D6D" w:rsidRPr="00B27DA6">
        <w:rPr>
          <w:b/>
          <w:bCs/>
          <w:color w:val="3B3B3A"/>
          <w:w w:val="105"/>
          <w:sz w:val="18"/>
        </w:rPr>
        <w:t>onsultation</w:t>
      </w:r>
      <w:r w:rsidR="00EE1D6D" w:rsidRPr="00B27DA6">
        <w:rPr>
          <w:b/>
          <w:bCs/>
          <w:color w:val="3B3B3A"/>
          <w:spacing w:val="-5"/>
          <w:w w:val="105"/>
          <w:sz w:val="18"/>
        </w:rPr>
        <w:t xml:space="preserve"> </w:t>
      </w:r>
      <w:r>
        <w:rPr>
          <w:b/>
          <w:bCs/>
          <w:color w:val="3B3B3A"/>
          <w:w w:val="105"/>
          <w:sz w:val="18"/>
        </w:rPr>
        <w:t>and consent</w:t>
      </w:r>
      <w:r w:rsidR="00B27DA6" w:rsidRPr="00B27DA6">
        <w:rPr>
          <w:b/>
          <w:bCs/>
          <w:color w:val="3B3B3A"/>
          <w:w w:val="105"/>
          <w:sz w:val="18"/>
        </w:rPr>
        <w:t>:</w:t>
      </w:r>
    </w:p>
    <w:p w14:paraId="481C6CF6" w14:textId="2C4CE6E7" w:rsidR="00914E56" w:rsidRDefault="00914E56" w:rsidP="00151564">
      <w:pPr>
        <w:pStyle w:val="ListParagraph"/>
        <w:numPr>
          <w:ilvl w:val="1"/>
          <w:numId w:val="13"/>
        </w:numPr>
        <w:tabs>
          <w:tab w:val="left" w:pos="1872"/>
          <w:tab w:val="left" w:pos="1873"/>
        </w:tabs>
        <w:spacing w:before="169"/>
        <w:ind w:right="356"/>
        <w:rPr>
          <w:color w:val="3B3B3A"/>
          <w:w w:val="105"/>
          <w:position w:val="1"/>
          <w:sz w:val="18"/>
        </w:rPr>
      </w:pPr>
      <w:r>
        <w:rPr>
          <w:color w:val="3B3B3A"/>
          <w:w w:val="105"/>
          <w:position w:val="1"/>
          <w:sz w:val="18"/>
        </w:rPr>
        <w:t xml:space="preserve">Check </w:t>
      </w:r>
      <w:r w:rsidR="005E74C9">
        <w:rPr>
          <w:color w:val="3B3B3A"/>
          <w:w w:val="105"/>
          <w:position w:val="1"/>
          <w:sz w:val="18"/>
        </w:rPr>
        <w:t>patient</w:t>
      </w:r>
      <w:r w:rsidR="006B5B48">
        <w:rPr>
          <w:color w:val="3B3B3A"/>
          <w:w w:val="105"/>
          <w:position w:val="1"/>
          <w:sz w:val="18"/>
        </w:rPr>
        <w:t>’</w:t>
      </w:r>
      <w:r w:rsidR="005E74C9">
        <w:rPr>
          <w:color w:val="3B3B3A"/>
          <w:w w:val="105"/>
          <w:position w:val="1"/>
          <w:sz w:val="18"/>
        </w:rPr>
        <w:t>s</w:t>
      </w:r>
      <w:r>
        <w:rPr>
          <w:color w:val="3B3B3A"/>
          <w:w w:val="105"/>
          <w:position w:val="1"/>
          <w:sz w:val="18"/>
        </w:rPr>
        <w:t xml:space="preserve"> eligibility.</w:t>
      </w:r>
    </w:p>
    <w:p w14:paraId="7BC7E856" w14:textId="6E42ABB8" w:rsidR="008E409A" w:rsidRPr="00DC18F1" w:rsidRDefault="00EE1D6D" w:rsidP="00DC18F1">
      <w:pPr>
        <w:pStyle w:val="ListParagraph"/>
        <w:numPr>
          <w:ilvl w:val="1"/>
          <w:numId w:val="13"/>
        </w:numPr>
        <w:tabs>
          <w:tab w:val="left" w:pos="1872"/>
          <w:tab w:val="left" w:pos="1873"/>
        </w:tabs>
        <w:spacing w:before="169" w:after="240"/>
        <w:ind w:right="356"/>
        <w:rPr>
          <w:color w:val="3B3B3A"/>
          <w:w w:val="105"/>
          <w:position w:val="1"/>
          <w:sz w:val="18"/>
          <w:szCs w:val="18"/>
        </w:rPr>
      </w:pPr>
      <w:r w:rsidRPr="00B2528E">
        <w:rPr>
          <w:color w:val="3B3B3A"/>
          <w:w w:val="105"/>
          <w:position w:val="1"/>
          <w:sz w:val="18"/>
        </w:rPr>
        <w:t>Introduce yourself</w:t>
      </w:r>
      <w:r w:rsidR="002E51DD">
        <w:rPr>
          <w:color w:val="3B3B3A"/>
          <w:w w:val="105"/>
          <w:position w:val="1"/>
          <w:sz w:val="18"/>
        </w:rPr>
        <w:t xml:space="preserve"> and</w:t>
      </w:r>
      <w:r w:rsidRPr="00B2528E">
        <w:rPr>
          <w:color w:val="3B3B3A"/>
          <w:w w:val="105"/>
          <w:position w:val="1"/>
          <w:sz w:val="18"/>
        </w:rPr>
        <w:t xml:space="preserve"> explain the service process, including any payments</w:t>
      </w:r>
      <w:r w:rsidR="00864CCD">
        <w:rPr>
          <w:color w:val="3B3B3A"/>
          <w:w w:val="105"/>
          <w:position w:val="1"/>
          <w:sz w:val="18"/>
        </w:rPr>
        <w:t xml:space="preserve"> </w:t>
      </w:r>
      <w:r w:rsidRPr="00B2528E">
        <w:rPr>
          <w:color w:val="3B3B3A"/>
          <w:w w:val="105"/>
          <w:position w:val="1"/>
          <w:sz w:val="18"/>
        </w:rPr>
        <w:t xml:space="preserve">and </w:t>
      </w:r>
      <w:r w:rsidRPr="0091015D">
        <w:rPr>
          <w:color w:val="3B3B3A"/>
          <w:w w:val="105"/>
          <w:position w:val="1"/>
          <w:sz w:val="18"/>
        </w:rPr>
        <w:t>obtain consent before providing the service</w:t>
      </w:r>
      <w:r w:rsidR="006261CA" w:rsidRPr="0091015D">
        <w:rPr>
          <w:color w:val="3B3B3A"/>
          <w:w w:val="105"/>
          <w:position w:val="1"/>
          <w:sz w:val="18"/>
        </w:rPr>
        <w:t>.</w:t>
      </w:r>
      <w:r w:rsidR="00B27DA6" w:rsidRPr="0091015D">
        <w:rPr>
          <w:color w:val="3B3B3A"/>
          <w:w w:val="105"/>
          <w:position w:val="1"/>
          <w:sz w:val="18"/>
        </w:rPr>
        <w:t xml:space="preserve"> </w:t>
      </w:r>
      <w:r w:rsidR="00B27DA6" w:rsidRPr="0091015D">
        <w:rPr>
          <w:sz w:val="18"/>
          <w:szCs w:val="18"/>
        </w:rPr>
        <w:t>The consent process also clarifies that they are consenting not only to the service but also that the pharmacy team member will contact them in 5 days for a short follow-up conversation.</w:t>
      </w:r>
    </w:p>
    <w:p w14:paraId="6CB1A526" w14:textId="52C689DC" w:rsidR="001C71AD" w:rsidRPr="00426D96" w:rsidRDefault="00B27DA6" w:rsidP="00426D96">
      <w:pPr>
        <w:pStyle w:val="ListParagraph"/>
        <w:numPr>
          <w:ilvl w:val="1"/>
          <w:numId w:val="13"/>
        </w:numPr>
        <w:tabs>
          <w:tab w:val="left" w:pos="1872"/>
          <w:tab w:val="left" w:pos="1873"/>
        </w:tabs>
        <w:spacing w:before="169" w:after="240"/>
        <w:ind w:right="356"/>
        <w:rPr>
          <w:color w:val="3B3B3A"/>
          <w:w w:val="105"/>
          <w:position w:val="1"/>
          <w:sz w:val="18"/>
          <w:szCs w:val="18"/>
        </w:rPr>
      </w:pPr>
      <w:r w:rsidRPr="00B27DA6">
        <w:rPr>
          <w:sz w:val="18"/>
          <w:szCs w:val="18"/>
        </w:rPr>
        <w:t>The PharmOutcomes system will send a secure email to the patient’s GP to inform them</w:t>
      </w:r>
      <w:r w:rsidR="00286E44">
        <w:rPr>
          <w:sz w:val="18"/>
          <w:szCs w:val="18"/>
        </w:rPr>
        <w:t xml:space="preserve"> that the patient has been seen and</w:t>
      </w:r>
      <w:r w:rsidRPr="00B27DA6">
        <w:rPr>
          <w:sz w:val="18"/>
          <w:szCs w:val="18"/>
        </w:rPr>
        <w:t xml:space="preserve"> if there has been a supply made under a PGD so that the information can be added to the patient’s medical record. Where a secure email address is not available for a practice the PharmOutcomes system will inform the pharmacy that they have to inform the practice using a different, secure method</w:t>
      </w:r>
      <w:r w:rsidR="00812A1A">
        <w:rPr>
          <w:sz w:val="18"/>
          <w:szCs w:val="18"/>
        </w:rPr>
        <w:t xml:space="preserve"> within 2 working days.</w:t>
      </w:r>
    </w:p>
    <w:p w14:paraId="3A97546E" w14:textId="4B5FF57B" w:rsidR="00653FB0" w:rsidRPr="00B27DA6" w:rsidRDefault="00653FB0" w:rsidP="00E552BE">
      <w:pPr>
        <w:pStyle w:val="ListParagraph"/>
        <w:numPr>
          <w:ilvl w:val="0"/>
          <w:numId w:val="13"/>
        </w:numPr>
        <w:rPr>
          <w:b/>
          <w:bCs/>
          <w:color w:val="3B3B3A"/>
          <w:w w:val="105"/>
          <w:position w:val="1"/>
          <w:sz w:val="18"/>
        </w:rPr>
      </w:pPr>
      <w:r w:rsidRPr="00B27DA6">
        <w:rPr>
          <w:b/>
          <w:bCs/>
          <w:color w:val="3B3B3A"/>
          <w:w w:val="105"/>
          <w:sz w:val="18"/>
        </w:rPr>
        <w:t>A</w:t>
      </w:r>
      <w:r w:rsidR="00EE1D6D" w:rsidRPr="00B27DA6">
        <w:rPr>
          <w:b/>
          <w:bCs/>
          <w:color w:val="3B3B3A"/>
          <w:w w:val="105"/>
          <w:sz w:val="18"/>
        </w:rPr>
        <w:t>ssess the patient</w:t>
      </w:r>
      <w:r w:rsidR="003B094F" w:rsidRPr="00B27DA6">
        <w:rPr>
          <w:b/>
          <w:bCs/>
          <w:color w:val="3B3B3A"/>
          <w:w w:val="105"/>
          <w:sz w:val="18"/>
        </w:rPr>
        <w:t>’s</w:t>
      </w:r>
      <w:r w:rsidR="00EE1D6D" w:rsidRPr="00B27DA6">
        <w:rPr>
          <w:b/>
          <w:bCs/>
          <w:color w:val="3B3B3A"/>
          <w:w w:val="105"/>
          <w:sz w:val="18"/>
        </w:rPr>
        <w:t xml:space="preserve"> needs</w:t>
      </w:r>
      <w:r w:rsidR="00B27DA6">
        <w:rPr>
          <w:b/>
          <w:bCs/>
          <w:color w:val="3B3B3A"/>
          <w:w w:val="105"/>
          <w:sz w:val="18"/>
        </w:rPr>
        <w:t>:</w:t>
      </w:r>
    </w:p>
    <w:p w14:paraId="6EAFC9A5" w14:textId="4CF39E58" w:rsidR="006934CD" w:rsidRDefault="00EE1D6D" w:rsidP="00151564">
      <w:pPr>
        <w:pStyle w:val="ListParagraph"/>
        <w:numPr>
          <w:ilvl w:val="1"/>
          <w:numId w:val="13"/>
        </w:numPr>
        <w:tabs>
          <w:tab w:val="left" w:pos="1872"/>
          <w:tab w:val="left" w:pos="1873"/>
        </w:tabs>
        <w:spacing w:before="169"/>
        <w:ind w:right="356"/>
        <w:rPr>
          <w:color w:val="3B3B3A"/>
          <w:w w:val="105"/>
          <w:position w:val="1"/>
          <w:sz w:val="18"/>
        </w:rPr>
      </w:pPr>
      <w:r>
        <w:rPr>
          <w:color w:val="3B3B3A"/>
          <w:w w:val="105"/>
          <w:position w:val="1"/>
          <w:sz w:val="18"/>
        </w:rPr>
        <w:t>Establish</w:t>
      </w:r>
      <w:r w:rsidRPr="006934CD">
        <w:rPr>
          <w:color w:val="3B3B3A"/>
          <w:w w:val="105"/>
          <w:position w:val="1"/>
          <w:sz w:val="18"/>
        </w:rPr>
        <w:t xml:space="preserve"> </w:t>
      </w:r>
      <w:r>
        <w:rPr>
          <w:color w:val="3B3B3A"/>
          <w:w w:val="105"/>
          <w:position w:val="1"/>
          <w:sz w:val="18"/>
        </w:rPr>
        <w:t>the</w:t>
      </w:r>
      <w:r w:rsidRPr="006934CD">
        <w:rPr>
          <w:color w:val="3B3B3A"/>
          <w:w w:val="105"/>
          <w:position w:val="1"/>
          <w:sz w:val="18"/>
        </w:rPr>
        <w:t xml:space="preserve"> </w:t>
      </w:r>
      <w:r w:rsidR="00864CCD">
        <w:rPr>
          <w:color w:val="3B3B3A"/>
          <w:w w:val="105"/>
          <w:position w:val="1"/>
          <w:sz w:val="18"/>
        </w:rPr>
        <w:t>patient</w:t>
      </w:r>
      <w:r>
        <w:rPr>
          <w:color w:val="3B3B3A"/>
          <w:w w:val="105"/>
          <w:position w:val="1"/>
          <w:sz w:val="18"/>
        </w:rPr>
        <w:t>’s</w:t>
      </w:r>
      <w:r w:rsidRPr="006934CD">
        <w:rPr>
          <w:color w:val="3B3B3A"/>
          <w:w w:val="105"/>
          <w:position w:val="1"/>
          <w:sz w:val="18"/>
        </w:rPr>
        <w:t xml:space="preserve"> </w:t>
      </w:r>
      <w:r>
        <w:rPr>
          <w:color w:val="3B3B3A"/>
          <w:w w:val="105"/>
          <w:position w:val="1"/>
          <w:sz w:val="18"/>
        </w:rPr>
        <w:t>history</w:t>
      </w:r>
      <w:r w:rsidR="000D65D0">
        <w:rPr>
          <w:color w:val="3B3B3A"/>
          <w:w w:val="105"/>
          <w:position w:val="1"/>
          <w:sz w:val="18"/>
        </w:rPr>
        <w:t xml:space="preserve"> and duration of symptoms</w:t>
      </w:r>
      <w:r w:rsidR="00864CCD">
        <w:rPr>
          <w:color w:val="3B3B3A"/>
          <w:w w:val="105"/>
          <w:position w:val="1"/>
          <w:sz w:val="18"/>
        </w:rPr>
        <w:t>.</w:t>
      </w:r>
    </w:p>
    <w:p w14:paraId="1534BE39" w14:textId="77777777" w:rsidR="00812A1A" w:rsidRPr="00812A1A" w:rsidRDefault="00812A1A" w:rsidP="00151564">
      <w:pPr>
        <w:pStyle w:val="ListParagraph"/>
        <w:numPr>
          <w:ilvl w:val="1"/>
          <w:numId w:val="13"/>
        </w:numPr>
        <w:tabs>
          <w:tab w:val="left" w:pos="1872"/>
          <w:tab w:val="left" w:pos="1873"/>
        </w:tabs>
        <w:spacing w:before="169"/>
        <w:ind w:right="356"/>
        <w:rPr>
          <w:color w:val="3B3B3A"/>
          <w:w w:val="105"/>
          <w:position w:val="1"/>
          <w:sz w:val="18"/>
        </w:rPr>
      </w:pPr>
      <w:r w:rsidRPr="00812A1A">
        <w:rPr>
          <w:sz w:val="18"/>
          <w:szCs w:val="18"/>
        </w:rPr>
        <w:t xml:space="preserve">The pharmacist must be familiar with the PGDs and urinary diagnosis protocol involved in this service and where a dipstick is required, how to interpret the result. </w:t>
      </w:r>
    </w:p>
    <w:p w14:paraId="07854690" w14:textId="18B9D7A8" w:rsidR="0091015D" w:rsidRPr="006A4C35" w:rsidRDefault="00812A1A" w:rsidP="00DC18F1">
      <w:pPr>
        <w:pStyle w:val="ListParagraph"/>
        <w:numPr>
          <w:ilvl w:val="1"/>
          <w:numId w:val="13"/>
        </w:numPr>
        <w:tabs>
          <w:tab w:val="left" w:pos="1872"/>
          <w:tab w:val="left" w:pos="1873"/>
        </w:tabs>
        <w:spacing w:before="169"/>
        <w:ind w:right="356"/>
        <w:rPr>
          <w:color w:val="3B3B3A"/>
          <w:w w:val="105"/>
          <w:position w:val="1"/>
          <w:sz w:val="18"/>
        </w:rPr>
      </w:pPr>
      <w:r w:rsidRPr="00812A1A">
        <w:rPr>
          <w:sz w:val="18"/>
          <w:szCs w:val="18"/>
        </w:rPr>
        <w:t>The pharmacist must carry out a professional consultation with reference to the appropriate PGDs</w:t>
      </w:r>
      <w:r w:rsidR="00DC18F1">
        <w:rPr>
          <w:sz w:val="18"/>
          <w:szCs w:val="18"/>
        </w:rPr>
        <w:t>.</w:t>
      </w:r>
      <w:r w:rsidRPr="00812A1A">
        <w:rPr>
          <w:sz w:val="18"/>
          <w:szCs w:val="18"/>
        </w:rPr>
        <w:t xml:space="preserve"> </w:t>
      </w:r>
    </w:p>
    <w:p w14:paraId="0692975F" w14:textId="5E66BA16" w:rsidR="0011564C" w:rsidRPr="0011564C" w:rsidRDefault="0011564C" w:rsidP="0011564C">
      <w:pPr>
        <w:pStyle w:val="ListParagraph"/>
        <w:numPr>
          <w:ilvl w:val="1"/>
          <w:numId w:val="13"/>
        </w:numPr>
        <w:tabs>
          <w:tab w:val="left" w:pos="1872"/>
          <w:tab w:val="left" w:pos="1873"/>
        </w:tabs>
        <w:spacing w:before="169"/>
        <w:ind w:right="356"/>
        <w:rPr>
          <w:color w:val="3B3B3A"/>
          <w:w w:val="105"/>
          <w:position w:val="1"/>
          <w:sz w:val="18"/>
        </w:rPr>
      </w:pPr>
      <w:r>
        <w:rPr>
          <w:sz w:val="18"/>
          <w:szCs w:val="18"/>
        </w:rPr>
        <w:t>Follow</w:t>
      </w:r>
      <w:r w:rsidR="00426D96">
        <w:rPr>
          <w:sz w:val="18"/>
          <w:szCs w:val="18"/>
        </w:rPr>
        <w:t xml:space="preserve">- </w:t>
      </w:r>
      <w:r>
        <w:rPr>
          <w:sz w:val="18"/>
          <w:szCs w:val="18"/>
        </w:rPr>
        <w:t>Up – Deferred Antibiotic treatment</w:t>
      </w:r>
    </w:p>
    <w:p w14:paraId="346FA3FC" w14:textId="46783472" w:rsidR="0011564C" w:rsidRPr="0011564C" w:rsidRDefault="0011564C" w:rsidP="0011564C">
      <w:pPr>
        <w:pStyle w:val="ListParagraph"/>
        <w:numPr>
          <w:ilvl w:val="2"/>
          <w:numId w:val="13"/>
        </w:numPr>
        <w:tabs>
          <w:tab w:val="left" w:pos="1872"/>
          <w:tab w:val="left" w:pos="1873"/>
        </w:tabs>
        <w:spacing w:before="169"/>
        <w:ind w:right="356"/>
        <w:rPr>
          <w:color w:val="3B3B3A"/>
          <w:w w:val="105"/>
          <w:position w:val="1"/>
          <w:sz w:val="18"/>
          <w:szCs w:val="18"/>
        </w:rPr>
      </w:pPr>
      <w:r w:rsidRPr="0011564C">
        <w:rPr>
          <w:sz w:val="18"/>
          <w:szCs w:val="18"/>
        </w:rPr>
        <w:t>The pharmacist may advise deferred antibiotic treatment; in this case they would</w:t>
      </w:r>
      <w:r w:rsidR="00286E44">
        <w:rPr>
          <w:sz w:val="18"/>
          <w:szCs w:val="18"/>
        </w:rPr>
        <w:t xml:space="preserve"> save</w:t>
      </w:r>
      <w:r w:rsidRPr="0011564C">
        <w:rPr>
          <w:sz w:val="18"/>
          <w:szCs w:val="18"/>
        </w:rPr>
        <w:t xml:space="preserve"> the consultation</w:t>
      </w:r>
      <w:r w:rsidR="00286E44">
        <w:rPr>
          <w:sz w:val="18"/>
          <w:szCs w:val="18"/>
        </w:rPr>
        <w:t xml:space="preserve"> i.e. partial save. If the patient returns for a supply, the record can be reopened and completed. If the patient does not return within five days the consultation will need to be completed and closed to claim payment.</w:t>
      </w:r>
      <w:r w:rsidRPr="0011564C">
        <w:rPr>
          <w:sz w:val="18"/>
          <w:szCs w:val="18"/>
        </w:rPr>
        <w:t xml:space="preserve"> </w:t>
      </w:r>
      <w:r w:rsidR="00286E44">
        <w:rPr>
          <w:sz w:val="18"/>
          <w:szCs w:val="18"/>
        </w:rPr>
        <w:t>T</w:t>
      </w:r>
      <w:r w:rsidRPr="0011564C">
        <w:rPr>
          <w:sz w:val="18"/>
          <w:szCs w:val="18"/>
        </w:rPr>
        <w:t xml:space="preserve">he </w:t>
      </w:r>
      <w:r w:rsidR="00286E44">
        <w:rPr>
          <w:sz w:val="18"/>
          <w:szCs w:val="18"/>
        </w:rPr>
        <w:t xml:space="preserve">final </w:t>
      </w:r>
      <w:r w:rsidRPr="0011564C">
        <w:rPr>
          <w:sz w:val="18"/>
          <w:szCs w:val="18"/>
        </w:rPr>
        <w:t>data w</w:t>
      </w:r>
      <w:r w:rsidR="00286E44">
        <w:rPr>
          <w:sz w:val="18"/>
          <w:szCs w:val="18"/>
        </w:rPr>
        <w:t>ill</w:t>
      </w:r>
      <w:r w:rsidRPr="0011564C">
        <w:rPr>
          <w:sz w:val="18"/>
          <w:szCs w:val="18"/>
        </w:rPr>
        <w:t xml:space="preserve"> </w:t>
      </w:r>
      <w:r w:rsidR="00286E44">
        <w:rPr>
          <w:sz w:val="18"/>
          <w:szCs w:val="18"/>
        </w:rPr>
        <w:t xml:space="preserve">only </w:t>
      </w:r>
      <w:r w:rsidRPr="0011564C">
        <w:rPr>
          <w:sz w:val="18"/>
          <w:szCs w:val="18"/>
        </w:rPr>
        <w:t>be</w:t>
      </w:r>
      <w:r w:rsidR="00286E44">
        <w:rPr>
          <w:sz w:val="18"/>
          <w:szCs w:val="18"/>
        </w:rPr>
        <w:t xml:space="preserve"> completed</w:t>
      </w:r>
      <w:r w:rsidRPr="0011564C">
        <w:rPr>
          <w:sz w:val="18"/>
          <w:szCs w:val="18"/>
        </w:rPr>
        <w:t xml:space="preserve"> on PharmOutcomes</w:t>
      </w:r>
      <w:r w:rsidR="00286E44">
        <w:rPr>
          <w:sz w:val="18"/>
          <w:szCs w:val="18"/>
        </w:rPr>
        <w:t xml:space="preserve"> when the consultation has been fully completed</w:t>
      </w:r>
      <w:r w:rsidRPr="0011564C">
        <w:rPr>
          <w:sz w:val="18"/>
          <w:szCs w:val="18"/>
        </w:rPr>
        <w:t xml:space="preserve">. </w:t>
      </w:r>
    </w:p>
    <w:p w14:paraId="18EEB576" w14:textId="0C80C552" w:rsidR="0011564C" w:rsidRPr="0011564C" w:rsidRDefault="0011564C" w:rsidP="0011564C">
      <w:pPr>
        <w:pStyle w:val="ListParagraph"/>
        <w:numPr>
          <w:ilvl w:val="2"/>
          <w:numId w:val="13"/>
        </w:numPr>
        <w:tabs>
          <w:tab w:val="left" w:pos="1872"/>
          <w:tab w:val="left" w:pos="1873"/>
        </w:tabs>
        <w:spacing w:before="169"/>
        <w:ind w:right="356"/>
        <w:rPr>
          <w:color w:val="3B3B3A"/>
          <w:w w:val="105"/>
          <w:position w:val="1"/>
          <w:sz w:val="18"/>
          <w:szCs w:val="18"/>
        </w:rPr>
      </w:pPr>
      <w:r w:rsidRPr="0011564C">
        <w:rPr>
          <w:sz w:val="18"/>
          <w:szCs w:val="18"/>
        </w:rPr>
        <w:t xml:space="preserve">If the patient agrees to defer treatment the pharmacist should determine that they could be treated under the service PGDs if they do return. If they are excluded from a PGD supply, they should be advised to see their GP if they need treatment after waiting the agreed timescale </w:t>
      </w:r>
      <w:r w:rsidR="007A2FAF">
        <w:rPr>
          <w:sz w:val="18"/>
          <w:szCs w:val="18"/>
        </w:rPr>
        <w:t>recommended</w:t>
      </w:r>
      <w:r w:rsidRPr="0011564C">
        <w:rPr>
          <w:sz w:val="18"/>
          <w:szCs w:val="18"/>
        </w:rPr>
        <w:t xml:space="preserve"> in the deferment conversation. </w:t>
      </w:r>
    </w:p>
    <w:p w14:paraId="44E6A6D9" w14:textId="38ED52CE" w:rsidR="001D5A76" w:rsidRDefault="00EF196A" w:rsidP="00EF196A">
      <w:pPr>
        <w:pStyle w:val="ListParagraph"/>
        <w:numPr>
          <w:ilvl w:val="1"/>
          <w:numId w:val="13"/>
        </w:numPr>
        <w:tabs>
          <w:tab w:val="left" w:pos="1985"/>
        </w:tabs>
        <w:spacing w:before="169"/>
        <w:ind w:right="356"/>
        <w:rPr>
          <w:color w:val="3B3B3A"/>
          <w:w w:val="105"/>
          <w:position w:val="1"/>
          <w:sz w:val="18"/>
        </w:rPr>
      </w:pPr>
      <w:r>
        <w:rPr>
          <w:color w:val="3B3B3A"/>
          <w:w w:val="105"/>
          <w:position w:val="1"/>
          <w:sz w:val="18"/>
        </w:rPr>
        <w:t>5 day follow- up</w:t>
      </w:r>
    </w:p>
    <w:p w14:paraId="52B8960E" w14:textId="5F1229E8" w:rsidR="00EF196A" w:rsidRPr="00EF196A" w:rsidRDefault="00EF196A" w:rsidP="00EF196A">
      <w:pPr>
        <w:pStyle w:val="ListParagraph"/>
        <w:numPr>
          <w:ilvl w:val="2"/>
          <w:numId w:val="13"/>
        </w:numPr>
        <w:tabs>
          <w:tab w:val="left" w:pos="1985"/>
        </w:tabs>
        <w:spacing w:before="169"/>
        <w:ind w:right="356"/>
        <w:rPr>
          <w:color w:val="3B3B3A"/>
          <w:w w:val="105"/>
          <w:position w:val="1"/>
          <w:sz w:val="18"/>
          <w:szCs w:val="18"/>
        </w:rPr>
      </w:pPr>
      <w:r w:rsidRPr="00EF196A">
        <w:rPr>
          <w:sz w:val="18"/>
          <w:szCs w:val="18"/>
        </w:rPr>
        <w:t>The patient must be made aware that in order to access the service they must agree to having a follow up conversation with a trained pharmacy team member 5 days after the initial consultation or deferred supply</w:t>
      </w:r>
      <w:r w:rsidR="006B5B48">
        <w:rPr>
          <w:sz w:val="18"/>
          <w:szCs w:val="18"/>
        </w:rPr>
        <w:t>, as above</w:t>
      </w:r>
      <w:r w:rsidRPr="00EF196A">
        <w:rPr>
          <w:sz w:val="18"/>
          <w:szCs w:val="18"/>
        </w:rPr>
        <w:t xml:space="preserve">. </w:t>
      </w:r>
      <w:r w:rsidR="006B5B48">
        <w:rPr>
          <w:sz w:val="18"/>
          <w:szCs w:val="18"/>
        </w:rPr>
        <w:t>The pharmacist should ask for an appropriate contact number and organise a time to make this follow up call at the initial consultation.</w:t>
      </w:r>
    </w:p>
    <w:p w14:paraId="24581158" w14:textId="7A0642A9" w:rsidR="00EF196A" w:rsidRPr="00EF2AA2" w:rsidRDefault="00EF196A" w:rsidP="00EF2AA2">
      <w:pPr>
        <w:pStyle w:val="ListParagraph"/>
        <w:numPr>
          <w:ilvl w:val="2"/>
          <w:numId w:val="13"/>
        </w:numPr>
        <w:tabs>
          <w:tab w:val="left" w:pos="1985"/>
        </w:tabs>
        <w:spacing w:before="169"/>
        <w:ind w:right="356"/>
        <w:rPr>
          <w:color w:val="3B3B3A"/>
          <w:w w:val="105"/>
          <w:position w:val="1"/>
          <w:sz w:val="18"/>
          <w:szCs w:val="18"/>
        </w:rPr>
      </w:pPr>
      <w:r w:rsidRPr="00EF196A">
        <w:rPr>
          <w:sz w:val="18"/>
          <w:szCs w:val="18"/>
        </w:rPr>
        <w:t xml:space="preserve">The follow up should be recorded onto PharmOutcomes as soon as possible after the conversation has taken place and in all cases in </w:t>
      </w:r>
      <w:r w:rsidR="00426D96">
        <w:rPr>
          <w:sz w:val="18"/>
          <w:szCs w:val="18"/>
        </w:rPr>
        <w:t xml:space="preserve">2 </w:t>
      </w:r>
      <w:r w:rsidRPr="00EF196A">
        <w:rPr>
          <w:sz w:val="18"/>
          <w:szCs w:val="18"/>
        </w:rPr>
        <w:t xml:space="preserve">working days. </w:t>
      </w:r>
      <w:r w:rsidRPr="00EF2AA2">
        <w:rPr>
          <w:sz w:val="18"/>
          <w:szCs w:val="18"/>
        </w:rPr>
        <w:t xml:space="preserve"> </w:t>
      </w:r>
    </w:p>
    <w:p w14:paraId="5D963A4D" w14:textId="4E0E16B2" w:rsidR="003B094F" w:rsidRPr="00C2369E" w:rsidRDefault="00BE213D" w:rsidP="006A4C35">
      <w:pPr>
        <w:pStyle w:val="ListParagraph"/>
        <w:numPr>
          <w:ilvl w:val="2"/>
          <w:numId w:val="13"/>
        </w:numPr>
        <w:tabs>
          <w:tab w:val="left" w:pos="1985"/>
        </w:tabs>
        <w:spacing w:before="169"/>
        <w:ind w:right="356"/>
        <w:rPr>
          <w:color w:val="3B3B3A"/>
          <w:w w:val="105"/>
          <w:position w:val="1"/>
          <w:sz w:val="18"/>
          <w:szCs w:val="18"/>
        </w:rPr>
      </w:pPr>
      <w:r w:rsidRPr="00C2369E">
        <w:rPr>
          <w:sz w:val="18"/>
          <w:szCs w:val="18"/>
        </w:rPr>
        <w:t xml:space="preserve">A trained pharmacy team member is required to try to contact the patient 3 times at different times of the day. If an answer phone message is left for the patient asking </w:t>
      </w:r>
      <w:r w:rsidRPr="00C2369E">
        <w:rPr>
          <w:sz w:val="18"/>
          <w:szCs w:val="18"/>
        </w:rPr>
        <w:lastRenderedPageBreak/>
        <w:t>them to call back it is acceptable to make only two attempts to call. If after 3 attempts, or two as above, they have been unable to contact the patient, they are able to record this as “Lost to follow up” within the PharmOutcomes 5-day follow-up module and this will then generate payment of the follow up fee</w:t>
      </w:r>
    </w:p>
    <w:p w14:paraId="387B881A" w14:textId="40ADA92E" w:rsidR="00EF196A" w:rsidRDefault="00EF196A" w:rsidP="00EF196A">
      <w:pPr>
        <w:pStyle w:val="ListParagraph"/>
        <w:numPr>
          <w:ilvl w:val="1"/>
          <w:numId w:val="13"/>
        </w:numPr>
        <w:tabs>
          <w:tab w:val="left" w:pos="1194"/>
        </w:tabs>
        <w:spacing w:before="169"/>
        <w:ind w:right="356"/>
        <w:rPr>
          <w:color w:val="3B3B3A"/>
          <w:w w:val="105"/>
          <w:sz w:val="18"/>
        </w:rPr>
      </w:pPr>
      <w:r>
        <w:rPr>
          <w:color w:val="3B3B3A"/>
          <w:w w:val="105"/>
          <w:sz w:val="18"/>
        </w:rPr>
        <w:t>Urgent referral to a GP or other Healthcare professional.</w:t>
      </w:r>
    </w:p>
    <w:p w14:paraId="2F5B0D14" w14:textId="02BFC38E" w:rsidR="00EF196A" w:rsidRPr="00C258B2" w:rsidRDefault="00432BD0" w:rsidP="00C258B2">
      <w:pPr>
        <w:pStyle w:val="ListParagraph"/>
        <w:numPr>
          <w:ilvl w:val="2"/>
          <w:numId w:val="13"/>
        </w:numPr>
        <w:tabs>
          <w:tab w:val="left" w:pos="1194"/>
        </w:tabs>
        <w:spacing w:before="169"/>
        <w:ind w:right="356"/>
        <w:rPr>
          <w:color w:val="3B3B3A"/>
          <w:w w:val="105"/>
          <w:sz w:val="18"/>
          <w:szCs w:val="18"/>
        </w:rPr>
      </w:pPr>
      <w:r>
        <w:rPr>
          <w:sz w:val="18"/>
          <w:szCs w:val="18"/>
        </w:rPr>
        <w:t>I</w:t>
      </w:r>
      <w:r w:rsidR="00EF196A" w:rsidRPr="00EF196A">
        <w:rPr>
          <w:sz w:val="18"/>
          <w:szCs w:val="18"/>
        </w:rPr>
        <w:t xml:space="preserve">n a situation where a patient presents with a symptom(s) that requires referral to their GP or other healthcare professional (urgent or otherwise), the pharmacist must escalate as per their normal processes. This information will also need to be recorded within PharmOutcomes. </w:t>
      </w:r>
    </w:p>
    <w:p w14:paraId="7176255D" w14:textId="5DE4CC54" w:rsidR="00EF196A" w:rsidRPr="009C4D5D" w:rsidRDefault="00EF196A" w:rsidP="00EF196A">
      <w:pPr>
        <w:pStyle w:val="ListParagraph"/>
        <w:numPr>
          <w:ilvl w:val="2"/>
          <w:numId w:val="13"/>
        </w:numPr>
        <w:tabs>
          <w:tab w:val="left" w:pos="1194"/>
        </w:tabs>
        <w:spacing w:before="169"/>
        <w:ind w:right="356"/>
        <w:rPr>
          <w:color w:val="3B3B3A"/>
          <w:w w:val="105"/>
          <w:sz w:val="18"/>
          <w:szCs w:val="18"/>
        </w:rPr>
      </w:pPr>
      <w:r w:rsidRPr="00EF196A">
        <w:rPr>
          <w:sz w:val="18"/>
          <w:szCs w:val="18"/>
        </w:rPr>
        <w:t xml:space="preserve">If the patients GP practice is closed and/or the symptoms are sufficiently severe to warrant a referral to a doctor, the patient must be advised to contact 111 or attend A&amp;E immediately if required. If the symptoms appear life threatening the pharmacist must dial 999 and provide the responders with any relevant </w:t>
      </w:r>
      <w:r w:rsidRPr="009C4D5D">
        <w:rPr>
          <w:sz w:val="18"/>
          <w:szCs w:val="18"/>
        </w:rPr>
        <w:t>information</w:t>
      </w:r>
      <w:r w:rsidRPr="00EF196A">
        <w:rPr>
          <w:sz w:val="18"/>
          <w:szCs w:val="18"/>
        </w:rPr>
        <w:t>.</w:t>
      </w:r>
    </w:p>
    <w:p w14:paraId="2E2FE01F" w14:textId="77777777" w:rsidR="006A4C35" w:rsidRPr="00ED0D3E" w:rsidRDefault="006A4C35" w:rsidP="00ED0D3E">
      <w:pPr>
        <w:tabs>
          <w:tab w:val="left" w:pos="1194"/>
        </w:tabs>
        <w:spacing w:before="169"/>
        <w:ind w:right="356"/>
        <w:rPr>
          <w:color w:val="3B3B3A"/>
          <w:w w:val="105"/>
          <w:sz w:val="18"/>
          <w:szCs w:val="18"/>
        </w:rPr>
      </w:pPr>
    </w:p>
    <w:p w14:paraId="592643F7" w14:textId="46BAC2CB" w:rsidR="009C4D5D" w:rsidRPr="006940CA" w:rsidRDefault="009C4D5D" w:rsidP="006940CA">
      <w:pPr>
        <w:pStyle w:val="ListParagraph"/>
        <w:numPr>
          <w:ilvl w:val="0"/>
          <w:numId w:val="13"/>
        </w:numPr>
        <w:tabs>
          <w:tab w:val="left" w:pos="1194"/>
        </w:tabs>
        <w:spacing w:before="169"/>
        <w:ind w:right="356"/>
        <w:rPr>
          <w:b/>
          <w:bCs/>
          <w:sz w:val="18"/>
          <w:szCs w:val="18"/>
        </w:rPr>
      </w:pPr>
      <w:r w:rsidRPr="006940CA">
        <w:rPr>
          <w:b/>
          <w:bCs/>
          <w:sz w:val="18"/>
          <w:szCs w:val="18"/>
        </w:rPr>
        <w:t>Record keeping and labelling requirements</w:t>
      </w:r>
    </w:p>
    <w:p w14:paraId="44B87D94" w14:textId="52212C2D" w:rsidR="009C4D5D" w:rsidRPr="006940CA" w:rsidRDefault="009C4D5D" w:rsidP="006940CA">
      <w:pPr>
        <w:pStyle w:val="ListParagraph"/>
        <w:numPr>
          <w:ilvl w:val="1"/>
          <w:numId w:val="13"/>
        </w:numPr>
        <w:tabs>
          <w:tab w:val="left" w:pos="1194"/>
        </w:tabs>
        <w:spacing w:before="169"/>
        <w:ind w:right="356"/>
        <w:rPr>
          <w:b/>
          <w:bCs/>
          <w:color w:val="3B3B3A"/>
          <w:w w:val="105"/>
          <w:sz w:val="18"/>
          <w:szCs w:val="18"/>
        </w:rPr>
      </w:pPr>
      <w:r w:rsidRPr="006940CA">
        <w:rPr>
          <w:sz w:val="18"/>
          <w:szCs w:val="18"/>
        </w:rPr>
        <w:t>A record of every consultation with or without PGD supply, any deferred treatment supplies and all follow-ups must be made on PharmOutcomes.</w:t>
      </w:r>
    </w:p>
    <w:p w14:paraId="36C2A04B" w14:textId="77777777" w:rsidR="009C4D5D" w:rsidRPr="006940CA" w:rsidRDefault="009C4D5D" w:rsidP="006940CA">
      <w:pPr>
        <w:pStyle w:val="ListParagraph"/>
        <w:numPr>
          <w:ilvl w:val="1"/>
          <w:numId w:val="13"/>
        </w:numPr>
        <w:tabs>
          <w:tab w:val="left" w:pos="1194"/>
        </w:tabs>
        <w:spacing w:before="169"/>
        <w:ind w:right="356"/>
        <w:rPr>
          <w:b/>
          <w:bCs/>
          <w:color w:val="3B3B3A"/>
          <w:w w:val="105"/>
          <w:sz w:val="18"/>
          <w:szCs w:val="18"/>
        </w:rPr>
      </w:pPr>
      <w:r w:rsidRPr="006940CA">
        <w:rPr>
          <w:sz w:val="18"/>
          <w:szCs w:val="18"/>
        </w:rPr>
        <w:t>If, after completing the patient examination, the pharmacist considers that no treatment is required they should give the patient appropriate advice and record on PharmOutcomes that they have done so.</w:t>
      </w:r>
    </w:p>
    <w:p w14:paraId="0DA0C07B" w14:textId="49C4F540" w:rsidR="006940CA" w:rsidRPr="006940CA" w:rsidRDefault="006940CA" w:rsidP="006940CA">
      <w:pPr>
        <w:pStyle w:val="ListParagraph"/>
        <w:numPr>
          <w:ilvl w:val="1"/>
          <w:numId w:val="13"/>
        </w:numPr>
        <w:tabs>
          <w:tab w:val="left" w:pos="1194"/>
        </w:tabs>
        <w:spacing w:before="169"/>
        <w:ind w:right="356"/>
        <w:rPr>
          <w:b/>
          <w:bCs/>
          <w:color w:val="3B3B3A"/>
          <w:w w:val="105"/>
          <w:sz w:val="18"/>
          <w:szCs w:val="18"/>
        </w:rPr>
      </w:pPr>
      <w:r>
        <w:rPr>
          <w:sz w:val="18"/>
          <w:szCs w:val="18"/>
        </w:rPr>
        <w:t>I</w:t>
      </w:r>
      <w:r w:rsidR="009C4D5D" w:rsidRPr="006940CA">
        <w:rPr>
          <w:sz w:val="18"/>
          <w:szCs w:val="18"/>
        </w:rPr>
        <w:t>f the pharmacist considers that the most appropriate treatment for the patient is advice and supply of an OTC medication, they should record the consultation on PharmOutcomes and select the correct consultation outcome from the drop-down list in the module.</w:t>
      </w:r>
      <w:r w:rsidR="006B5B48">
        <w:rPr>
          <w:sz w:val="18"/>
          <w:szCs w:val="18"/>
        </w:rPr>
        <w:t xml:space="preserve">  The patient will be expected to pay for the OTC medication provided.</w:t>
      </w:r>
    </w:p>
    <w:p w14:paraId="1E384D03" w14:textId="6E0233D8" w:rsidR="004413AB" w:rsidRPr="006940CA" w:rsidRDefault="009C4D5D" w:rsidP="006940CA">
      <w:pPr>
        <w:pStyle w:val="ListParagraph"/>
        <w:numPr>
          <w:ilvl w:val="1"/>
          <w:numId w:val="13"/>
        </w:numPr>
        <w:tabs>
          <w:tab w:val="left" w:pos="1194"/>
        </w:tabs>
        <w:spacing w:before="169"/>
        <w:ind w:right="356"/>
        <w:rPr>
          <w:b/>
          <w:bCs/>
          <w:color w:val="3B3B3A"/>
          <w:w w:val="105"/>
          <w:sz w:val="18"/>
          <w:szCs w:val="18"/>
        </w:rPr>
      </w:pPr>
      <w:r w:rsidRPr="006940CA">
        <w:rPr>
          <w:sz w:val="18"/>
          <w:szCs w:val="18"/>
        </w:rPr>
        <w:t xml:space="preserve"> If the pharmacist</w:t>
      </w:r>
      <w:r>
        <w:t xml:space="preserve"> </w:t>
      </w:r>
      <w:r w:rsidRPr="006940CA">
        <w:rPr>
          <w:sz w:val="18"/>
          <w:szCs w:val="18"/>
        </w:rPr>
        <w:t>considers that the most appropriate treatment for the patient is advice and supply of an antibiotic, they should record the consultation on PharmOutcomes. A checklist of exclusion</w:t>
      </w:r>
      <w:r w:rsidR="006940CA">
        <w:rPr>
          <w:sz w:val="18"/>
          <w:szCs w:val="18"/>
        </w:rPr>
        <w:t xml:space="preserve"> </w:t>
      </w:r>
      <w:r w:rsidRPr="006940CA">
        <w:rPr>
          <w:sz w:val="18"/>
          <w:szCs w:val="18"/>
        </w:rPr>
        <w:t xml:space="preserve">and inclusion criteria relating to the PGDs for UTIs must be completed. </w:t>
      </w:r>
      <w:r w:rsidR="009316AE">
        <w:rPr>
          <w:sz w:val="18"/>
          <w:szCs w:val="18"/>
        </w:rPr>
        <w:t xml:space="preserve">  Patients should pay a prescription charge for the supply of the antibiotic if they are not exempt from prescriptions charges usually.</w:t>
      </w:r>
    </w:p>
    <w:p w14:paraId="5FEBE3C9" w14:textId="431E8E57" w:rsidR="004413AB" w:rsidRPr="006940CA" w:rsidRDefault="009C4D5D" w:rsidP="006940CA">
      <w:pPr>
        <w:pStyle w:val="ListParagraph"/>
        <w:numPr>
          <w:ilvl w:val="1"/>
          <w:numId w:val="13"/>
        </w:numPr>
        <w:tabs>
          <w:tab w:val="left" w:pos="1194"/>
        </w:tabs>
        <w:spacing w:before="169"/>
        <w:ind w:right="356"/>
        <w:rPr>
          <w:b/>
          <w:bCs/>
          <w:color w:val="3B3B3A"/>
          <w:w w:val="105"/>
          <w:sz w:val="18"/>
          <w:szCs w:val="18"/>
        </w:rPr>
      </w:pPr>
      <w:r w:rsidRPr="006940CA">
        <w:rPr>
          <w:sz w:val="18"/>
          <w:szCs w:val="18"/>
        </w:rPr>
        <w:t>If the pharmacist considers that the most appropriate treatment for the patient is advice with a deferred antibiotic supply, they should record the consultation on PharmOutcomes and</w:t>
      </w:r>
      <w:r w:rsidR="00100ED2">
        <w:rPr>
          <w:sz w:val="18"/>
          <w:szCs w:val="18"/>
        </w:rPr>
        <w:t xml:space="preserve"> partially save the record.</w:t>
      </w:r>
      <w:r w:rsidRPr="006940CA">
        <w:rPr>
          <w:sz w:val="18"/>
          <w:szCs w:val="18"/>
        </w:rPr>
        <w:t xml:space="preserve"> The final part of the PGD questions, which relate to the actual supply of the antibiotic, would not be completed until the patient returns after the appropriate waiting period to collect their antibiotic</w:t>
      </w:r>
      <w:r w:rsidR="00100ED2">
        <w:rPr>
          <w:sz w:val="18"/>
          <w:szCs w:val="18"/>
        </w:rPr>
        <w:t xml:space="preserve"> and then recorded on PharmOutcomes</w:t>
      </w:r>
      <w:r w:rsidRPr="006940CA">
        <w:rPr>
          <w:sz w:val="18"/>
          <w:szCs w:val="18"/>
        </w:rPr>
        <w:t xml:space="preserve">. </w:t>
      </w:r>
    </w:p>
    <w:p w14:paraId="5B1F909C" w14:textId="5479F7B3" w:rsidR="004413AB" w:rsidRPr="006940CA" w:rsidRDefault="009C4D5D" w:rsidP="006940CA">
      <w:pPr>
        <w:pStyle w:val="ListParagraph"/>
        <w:numPr>
          <w:ilvl w:val="1"/>
          <w:numId w:val="13"/>
        </w:numPr>
        <w:tabs>
          <w:tab w:val="left" w:pos="1194"/>
        </w:tabs>
        <w:spacing w:before="169"/>
        <w:ind w:right="356"/>
        <w:rPr>
          <w:b/>
          <w:bCs/>
          <w:color w:val="3B3B3A"/>
          <w:w w:val="105"/>
          <w:sz w:val="18"/>
          <w:szCs w:val="18"/>
        </w:rPr>
      </w:pPr>
      <w:r w:rsidRPr="006940CA">
        <w:rPr>
          <w:sz w:val="18"/>
          <w:szCs w:val="18"/>
        </w:rPr>
        <w:t xml:space="preserve">For some patients it may be appropriate to give them advice and recommend an OTC product as well as to supply an antibiotic (either on first consultation or a deferred supply). </w:t>
      </w:r>
      <w:r w:rsidR="006B5B48" w:rsidRPr="006B5B48">
        <w:rPr>
          <w:sz w:val="18"/>
          <w:szCs w:val="18"/>
        </w:rPr>
        <w:t>The patient will be expected to pay for the OTC medication provided.</w:t>
      </w:r>
    </w:p>
    <w:p w14:paraId="5087E226" w14:textId="77777777" w:rsidR="004413AB" w:rsidRPr="006940CA" w:rsidRDefault="009C4D5D" w:rsidP="006940CA">
      <w:pPr>
        <w:pStyle w:val="ListParagraph"/>
        <w:numPr>
          <w:ilvl w:val="1"/>
          <w:numId w:val="13"/>
        </w:numPr>
        <w:tabs>
          <w:tab w:val="left" w:pos="1194"/>
        </w:tabs>
        <w:spacing w:before="169"/>
        <w:ind w:right="356"/>
        <w:rPr>
          <w:b/>
          <w:bCs/>
          <w:color w:val="3B3B3A"/>
          <w:w w:val="105"/>
          <w:sz w:val="18"/>
          <w:szCs w:val="18"/>
        </w:rPr>
      </w:pPr>
      <w:r w:rsidRPr="006940CA">
        <w:rPr>
          <w:sz w:val="18"/>
          <w:szCs w:val="18"/>
        </w:rPr>
        <w:t xml:space="preserve">A record of any medication supplied as part of the Community Pharmacy UTI service should be documented in the Patients Medication Record (PMR) on the pharmacy IT system. </w:t>
      </w:r>
    </w:p>
    <w:p w14:paraId="443BB7DF" w14:textId="5AD4B481" w:rsidR="006151AA" w:rsidRPr="006151AA" w:rsidRDefault="006151AA" w:rsidP="006940CA">
      <w:pPr>
        <w:pStyle w:val="ListParagraph"/>
        <w:numPr>
          <w:ilvl w:val="1"/>
          <w:numId w:val="13"/>
        </w:numPr>
        <w:tabs>
          <w:tab w:val="left" w:pos="1194"/>
        </w:tabs>
        <w:spacing w:before="169"/>
        <w:ind w:right="356"/>
        <w:rPr>
          <w:b/>
          <w:bCs/>
          <w:color w:val="3B3B3A"/>
          <w:w w:val="105"/>
          <w:sz w:val="18"/>
          <w:szCs w:val="18"/>
        </w:rPr>
      </w:pPr>
      <w:r w:rsidRPr="006151AA">
        <w:rPr>
          <w:sz w:val="18"/>
          <w:szCs w:val="18"/>
        </w:rPr>
        <w:t xml:space="preserve">All records should be kept in line with </w:t>
      </w:r>
      <w:hyperlink r:id="rId11" w:history="1">
        <w:r w:rsidRPr="006151AA">
          <w:rPr>
            <w:rStyle w:val="Hyperlink"/>
            <w:sz w:val="18"/>
            <w:szCs w:val="18"/>
          </w:rPr>
          <w:t>national guidance</w:t>
        </w:r>
      </w:hyperlink>
      <w:r w:rsidRPr="006151AA">
        <w:rPr>
          <w:sz w:val="18"/>
          <w:szCs w:val="18"/>
        </w:rPr>
        <w:t>.</w:t>
      </w:r>
      <w:r>
        <w:rPr>
          <w:sz w:val="18"/>
          <w:szCs w:val="18"/>
        </w:rPr>
        <w:t xml:space="preserve"> </w:t>
      </w:r>
      <w:r w:rsidRPr="006151AA">
        <w:rPr>
          <w:sz w:val="18"/>
          <w:szCs w:val="18"/>
        </w:rPr>
        <w:t>This includes individual data, master copies of the PGD and lists of authorised practitioners.</w:t>
      </w:r>
    </w:p>
    <w:p w14:paraId="279235AD" w14:textId="021445A6" w:rsidR="006940CA" w:rsidRPr="006940CA" w:rsidRDefault="006940CA" w:rsidP="006940CA">
      <w:pPr>
        <w:pStyle w:val="ListParagraph"/>
        <w:tabs>
          <w:tab w:val="left" w:pos="1194"/>
        </w:tabs>
        <w:spacing w:before="169"/>
        <w:ind w:left="1021" w:right="356" w:firstLine="0"/>
        <w:rPr>
          <w:b/>
          <w:bCs/>
          <w:color w:val="3B3B3A"/>
          <w:w w:val="105"/>
          <w:sz w:val="18"/>
          <w:szCs w:val="18"/>
        </w:rPr>
      </w:pPr>
    </w:p>
    <w:p w14:paraId="18FC972D" w14:textId="780A350C" w:rsidR="00934C21" w:rsidRPr="00982DFE" w:rsidRDefault="00934C21" w:rsidP="00982DFE">
      <w:pPr>
        <w:pStyle w:val="ListParagraph"/>
        <w:numPr>
          <w:ilvl w:val="0"/>
          <w:numId w:val="13"/>
        </w:numPr>
        <w:tabs>
          <w:tab w:val="left" w:pos="1194"/>
        </w:tabs>
        <w:spacing w:before="169"/>
        <w:ind w:right="356"/>
        <w:rPr>
          <w:b/>
          <w:bCs/>
          <w:color w:val="3B3B3A"/>
          <w:w w:val="105"/>
          <w:sz w:val="18"/>
          <w:szCs w:val="18"/>
        </w:rPr>
      </w:pPr>
      <w:r w:rsidRPr="00982DFE">
        <w:rPr>
          <w:b/>
          <w:bCs/>
          <w:sz w:val="18"/>
          <w:szCs w:val="18"/>
        </w:rPr>
        <w:t>Incident reporting</w:t>
      </w:r>
      <w:r w:rsidR="00A81B93">
        <w:rPr>
          <w:b/>
          <w:bCs/>
          <w:sz w:val="18"/>
          <w:szCs w:val="18"/>
        </w:rPr>
        <w:t xml:space="preserve">, </w:t>
      </w:r>
      <w:r w:rsidRPr="00982DFE">
        <w:rPr>
          <w:b/>
          <w:bCs/>
          <w:sz w:val="18"/>
          <w:szCs w:val="18"/>
        </w:rPr>
        <w:t>complaints</w:t>
      </w:r>
      <w:r w:rsidR="00A81B93">
        <w:rPr>
          <w:b/>
          <w:bCs/>
          <w:sz w:val="18"/>
          <w:szCs w:val="18"/>
        </w:rPr>
        <w:t>, quality, and monitoring</w:t>
      </w:r>
    </w:p>
    <w:p w14:paraId="6FFA90EF" w14:textId="2BF67F35" w:rsidR="006A583A" w:rsidRDefault="006A583A" w:rsidP="006A583A">
      <w:pPr>
        <w:pStyle w:val="ListParagraph"/>
        <w:tabs>
          <w:tab w:val="left" w:pos="1194"/>
        </w:tabs>
        <w:spacing w:before="169"/>
        <w:ind w:left="1040" w:right="356" w:firstLine="0"/>
        <w:rPr>
          <w:sz w:val="18"/>
          <w:szCs w:val="18"/>
        </w:rPr>
      </w:pPr>
      <w:r w:rsidRPr="006A583A">
        <w:rPr>
          <w:sz w:val="18"/>
          <w:szCs w:val="18"/>
        </w:rPr>
        <w:t xml:space="preserve">All incidents relating to the service should be recorded as part of the pharmacy’s clinical governance procedures and reported to the commissioner. Pharmacies will be expected to follow their normal or company process for complaints in accordance with NHS policy. Where issues arise relating to a patient </w:t>
      </w:r>
      <w:r w:rsidR="00A81B93" w:rsidRPr="006A583A">
        <w:rPr>
          <w:sz w:val="18"/>
          <w:szCs w:val="18"/>
        </w:rPr>
        <w:t>complaint,</w:t>
      </w:r>
      <w:r w:rsidRPr="006A583A">
        <w:rPr>
          <w:sz w:val="18"/>
          <w:szCs w:val="18"/>
        </w:rPr>
        <w:t xml:space="preserve"> they should be reported to the commissioner</w:t>
      </w:r>
      <w:r w:rsidR="006151AA">
        <w:rPr>
          <w:sz w:val="18"/>
          <w:szCs w:val="18"/>
        </w:rPr>
        <w:t xml:space="preserve"> at </w:t>
      </w:r>
      <w:hyperlink r:id="rId12" w:history="1">
        <w:r w:rsidR="006151AA" w:rsidRPr="00FB2CE5">
          <w:rPr>
            <w:rStyle w:val="Hyperlink"/>
            <w:sz w:val="18"/>
            <w:szCs w:val="18"/>
          </w:rPr>
          <w:t>hvccg.pmot1@nhs.net</w:t>
        </w:r>
      </w:hyperlink>
      <w:r w:rsidR="006151AA">
        <w:rPr>
          <w:sz w:val="18"/>
          <w:szCs w:val="18"/>
        </w:rPr>
        <w:t>.</w:t>
      </w:r>
      <w:r w:rsidR="00A81B93">
        <w:rPr>
          <w:sz w:val="18"/>
          <w:szCs w:val="18"/>
        </w:rPr>
        <w:t xml:space="preserve"> </w:t>
      </w:r>
      <w:r w:rsidR="006151AA">
        <w:rPr>
          <w:sz w:val="18"/>
          <w:szCs w:val="18"/>
        </w:rPr>
        <w:t>T</w:t>
      </w:r>
      <w:r w:rsidRPr="006A583A">
        <w:rPr>
          <w:sz w:val="18"/>
          <w:szCs w:val="18"/>
        </w:rPr>
        <w:t>he pharmacy would be expected to review their service provision so that improvements can be made following significant events or errors.</w:t>
      </w:r>
    </w:p>
    <w:p w14:paraId="0EFC5FD3" w14:textId="396F5B4C" w:rsidR="00A81B93" w:rsidRDefault="00A81B93" w:rsidP="006A583A">
      <w:pPr>
        <w:pStyle w:val="ListParagraph"/>
        <w:tabs>
          <w:tab w:val="left" w:pos="1194"/>
        </w:tabs>
        <w:spacing w:before="169"/>
        <w:ind w:left="1040" w:right="356" w:firstLine="0"/>
        <w:rPr>
          <w:sz w:val="18"/>
          <w:szCs w:val="18"/>
        </w:rPr>
      </w:pPr>
      <w:r>
        <w:rPr>
          <w:sz w:val="18"/>
          <w:szCs w:val="18"/>
        </w:rPr>
        <w:t>Hertfordshire and West Essex (HWE) ICB will undertake regular audits of the service.</w:t>
      </w:r>
    </w:p>
    <w:p w14:paraId="7EDF20CD" w14:textId="77777777" w:rsidR="00FE42C9" w:rsidRDefault="00FE42C9" w:rsidP="006A583A">
      <w:pPr>
        <w:tabs>
          <w:tab w:val="left" w:pos="1194"/>
        </w:tabs>
        <w:spacing w:before="169"/>
        <w:ind w:right="356"/>
        <w:rPr>
          <w:sz w:val="18"/>
          <w:szCs w:val="18"/>
        </w:rPr>
      </w:pPr>
    </w:p>
    <w:p w14:paraId="1A2021E9" w14:textId="4CA20679" w:rsidR="006A4C35" w:rsidRDefault="00A81B93" w:rsidP="006A583A">
      <w:pPr>
        <w:tabs>
          <w:tab w:val="left" w:pos="1194"/>
        </w:tabs>
        <w:spacing w:before="169"/>
        <w:ind w:right="356"/>
        <w:rPr>
          <w:sz w:val="18"/>
          <w:szCs w:val="18"/>
        </w:rPr>
      </w:pPr>
      <w:r>
        <w:rPr>
          <w:sz w:val="18"/>
          <w:szCs w:val="18"/>
        </w:rPr>
        <w:tab/>
      </w:r>
    </w:p>
    <w:p w14:paraId="5ED9E7BE" w14:textId="1D112419" w:rsidR="00FF4908" w:rsidRPr="00A3769C" w:rsidRDefault="00FF4908" w:rsidP="00FF4908">
      <w:pPr>
        <w:pStyle w:val="ListParagraph"/>
        <w:numPr>
          <w:ilvl w:val="0"/>
          <w:numId w:val="8"/>
        </w:numPr>
        <w:spacing w:before="250" w:after="240"/>
        <w:rPr>
          <w:color w:val="005A75"/>
          <w:sz w:val="26"/>
        </w:rPr>
      </w:pPr>
      <w:r>
        <w:rPr>
          <w:color w:val="005A75"/>
          <w:sz w:val="26"/>
        </w:rPr>
        <w:t>Claiming</w:t>
      </w:r>
    </w:p>
    <w:p w14:paraId="174FD1CB" w14:textId="66DFDC46" w:rsidR="00BA600E" w:rsidRPr="00BA02EF" w:rsidRDefault="00982DFE" w:rsidP="00FF4908">
      <w:pPr>
        <w:pStyle w:val="ListParagraph"/>
        <w:numPr>
          <w:ilvl w:val="0"/>
          <w:numId w:val="15"/>
        </w:numPr>
        <w:tabs>
          <w:tab w:val="left" w:pos="1194"/>
        </w:tabs>
        <w:spacing w:before="169"/>
        <w:ind w:right="356"/>
        <w:rPr>
          <w:b/>
          <w:bCs/>
          <w:sz w:val="18"/>
          <w:szCs w:val="18"/>
        </w:rPr>
      </w:pPr>
      <w:r w:rsidRPr="00BA02EF">
        <w:rPr>
          <w:b/>
          <w:bCs/>
          <w:sz w:val="18"/>
          <w:szCs w:val="18"/>
        </w:rPr>
        <w:t>The pharmacy will be paid according to the following schedule</w:t>
      </w:r>
      <w:r w:rsidR="002A7840" w:rsidRPr="00BA02EF">
        <w:rPr>
          <w:b/>
          <w:bCs/>
          <w:sz w:val="18"/>
          <w:szCs w:val="18"/>
        </w:rPr>
        <w:t>:</w:t>
      </w:r>
    </w:p>
    <w:p w14:paraId="38DDED0B" w14:textId="6B89B27B" w:rsidR="00982DFE" w:rsidRDefault="00982DFE" w:rsidP="00BA600E">
      <w:pPr>
        <w:pStyle w:val="ListParagraph"/>
        <w:numPr>
          <w:ilvl w:val="1"/>
          <w:numId w:val="13"/>
        </w:numPr>
        <w:tabs>
          <w:tab w:val="left" w:pos="1194"/>
        </w:tabs>
        <w:spacing w:before="169"/>
        <w:ind w:right="356"/>
        <w:rPr>
          <w:sz w:val="18"/>
          <w:szCs w:val="18"/>
        </w:rPr>
      </w:pPr>
      <w:r w:rsidRPr="00982DFE">
        <w:rPr>
          <w:sz w:val="18"/>
          <w:szCs w:val="18"/>
        </w:rPr>
        <w:t>Activity payments will be made when clients have been seen and the consultation +/- the 5-day follow-up entered onto the PharmOutcomes system and submitted – regardless of whether any medication was supplied.</w:t>
      </w:r>
    </w:p>
    <w:p w14:paraId="63AE6255" w14:textId="4512103B" w:rsidR="00832014" w:rsidRPr="00426D96" w:rsidRDefault="00832014" w:rsidP="00426D96">
      <w:pPr>
        <w:pStyle w:val="ListParagraph"/>
        <w:numPr>
          <w:ilvl w:val="1"/>
          <w:numId w:val="13"/>
        </w:numPr>
        <w:tabs>
          <w:tab w:val="left" w:pos="1194"/>
        </w:tabs>
        <w:spacing w:before="169"/>
        <w:ind w:right="356"/>
        <w:rPr>
          <w:sz w:val="18"/>
          <w:szCs w:val="18"/>
        </w:rPr>
      </w:pPr>
      <w:r w:rsidRPr="00426D96">
        <w:rPr>
          <w:sz w:val="18"/>
          <w:szCs w:val="18"/>
        </w:rPr>
        <w:t>Claims should be submitted by the 5</w:t>
      </w:r>
      <w:r w:rsidRPr="00426D96">
        <w:rPr>
          <w:sz w:val="18"/>
          <w:szCs w:val="18"/>
          <w:vertAlign w:val="superscript"/>
        </w:rPr>
        <w:t>th</w:t>
      </w:r>
      <w:r w:rsidRPr="00426D96">
        <w:rPr>
          <w:sz w:val="18"/>
          <w:szCs w:val="18"/>
        </w:rPr>
        <w:t xml:space="preserve"> day of the month, for the previous month’s claims. Payment will be received 30 days after the submission.</w:t>
      </w:r>
    </w:p>
    <w:p w14:paraId="6CA460C3" w14:textId="77777777" w:rsidR="00832014" w:rsidRDefault="00832014" w:rsidP="0098686E">
      <w:pPr>
        <w:tabs>
          <w:tab w:val="left" w:pos="1194"/>
        </w:tabs>
        <w:spacing w:before="169"/>
        <w:ind w:right="356"/>
        <w:rPr>
          <w:sz w:val="18"/>
          <w:szCs w:val="18"/>
        </w:rPr>
      </w:pPr>
    </w:p>
    <w:p w14:paraId="058E2F8A" w14:textId="77777777" w:rsidR="00832014" w:rsidRDefault="00832014" w:rsidP="0098686E">
      <w:pPr>
        <w:tabs>
          <w:tab w:val="left" w:pos="1194"/>
        </w:tabs>
        <w:spacing w:before="169"/>
        <w:ind w:right="356"/>
        <w:rPr>
          <w:sz w:val="18"/>
          <w:szCs w:val="18"/>
        </w:rPr>
      </w:pPr>
    </w:p>
    <w:p w14:paraId="65AFF894" w14:textId="269243E8" w:rsidR="0098686E" w:rsidRPr="00996DDD" w:rsidRDefault="00996DDD" w:rsidP="00996DDD">
      <w:pPr>
        <w:rPr>
          <w:b/>
          <w:bCs/>
          <w:sz w:val="18"/>
          <w:szCs w:val="18"/>
        </w:rPr>
      </w:pPr>
      <w:r w:rsidRPr="00996DDD">
        <w:rPr>
          <w:b/>
          <w:bCs/>
          <w:sz w:val="18"/>
          <w:szCs w:val="18"/>
        </w:rPr>
        <w:t>The following staff has read and understood the contents of this SOP and have signed to accept it as working practice.</w:t>
      </w:r>
    </w:p>
    <w:p w14:paraId="7390CA52" w14:textId="77777777" w:rsidR="0098686E" w:rsidRDefault="0098686E" w:rsidP="0098686E">
      <w:pPr>
        <w:tabs>
          <w:tab w:val="left" w:pos="1194"/>
        </w:tabs>
        <w:spacing w:before="169"/>
        <w:ind w:right="356"/>
        <w:rPr>
          <w:sz w:val="18"/>
          <w:szCs w:val="18"/>
        </w:rPr>
      </w:pPr>
    </w:p>
    <w:tbl>
      <w:tblPr>
        <w:tblStyle w:val="TableGrid"/>
        <w:tblW w:w="0" w:type="auto"/>
        <w:tblLook w:val="04A0" w:firstRow="1" w:lastRow="0" w:firstColumn="1" w:lastColumn="0" w:noHBand="0" w:noVBand="1"/>
      </w:tblPr>
      <w:tblGrid>
        <w:gridCol w:w="2830"/>
        <w:gridCol w:w="2552"/>
        <w:gridCol w:w="2410"/>
        <w:gridCol w:w="1558"/>
      </w:tblGrid>
      <w:tr w:rsidR="0098686E" w14:paraId="0CEB8065" w14:textId="77777777" w:rsidTr="0098686E">
        <w:tc>
          <w:tcPr>
            <w:tcW w:w="2830" w:type="dxa"/>
          </w:tcPr>
          <w:p w14:paraId="6A62A3E4" w14:textId="0C15DE0C" w:rsidR="0098686E" w:rsidRPr="003A79F5" w:rsidRDefault="0098686E" w:rsidP="004B5615">
            <w:pPr>
              <w:tabs>
                <w:tab w:val="left" w:pos="1194"/>
              </w:tabs>
              <w:spacing w:before="169"/>
              <w:ind w:right="356"/>
              <w:jc w:val="center"/>
              <w:rPr>
                <w:b/>
                <w:bCs/>
                <w:sz w:val="18"/>
                <w:szCs w:val="18"/>
              </w:rPr>
            </w:pPr>
            <w:r w:rsidRPr="003A79F5">
              <w:rPr>
                <w:b/>
                <w:bCs/>
                <w:sz w:val="18"/>
                <w:szCs w:val="18"/>
              </w:rPr>
              <w:t>NAME</w:t>
            </w:r>
          </w:p>
        </w:tc>
        <w:tc>
          <w:tcPr>
            <w:tcW w:w="2552" w:type="dxa"/>
          </w:tcPr>
          <w:p w14:paraId="6536427C" w14:textId="116C167C" w:rsidR="0098686E" w:rsidRPr="003A79F5" w:rsidRDefault="0098686E" w:rsidP="004B5615">
            <w:pPr>
              <w:tabs>
                <w:tab w:val="left" w:pos="1194"/>
              </w:tabs>
              <w:spacing w:before="169"/>
              <w:ind w:right="356"/>
              <w:jc w:val="center"/>
              <w:rPr>
                <w:b/>
                <w:bCs/>
                <w:sz w:val="18"/>
                <w:szCs w:val="18"/>
              </w:rPr>
            </w:pPr>
            <w:r w:rsidRPr="003A79F5">
              <w:rPr>
                <w:b/>
                <w:bCs/>
                <w:sz w:val="18"/>
                <w:szCs w:val="18"/>
              </w:rPr>
              <w:t>POSITION</w:t>
            </w:r>
          </w:p>
        </w:tc>
        <w:tc>
          <w:tcPr>
            <w:tcW w:w="2410" w:type="dxa"/>
          </w:tcPr>
          <w:p w14:paraId="6DA17506" w14:textId="33A62F5E" w:rsidR="0098686E" w:rsidRPr="003A79F5" w:rsidRDefault="0098686E" w:rsidP="004B5615">
            <w:pPr>
              <w:tabs>
                <w:tab w:val="left" w:pos="1194"/>
              </w:tabs>
              <w:spacing w:before="169"/>
              <w:ind w:right="356"/>
              <w:jc w:val="center"/>
              <w:rPr>
                <w:b/>
                <w:bCs/>
                <w:sz w:val="18"/>
                <w:szCs w:val="18"/>
              </w:rPr>
            </w:pPr>
            <w:r w:rsidRPr="003A79F5">
              <w:rPr>
                <w:b/>
                <w:bCs/>
                <w:sz w:val="18"/>
                <w:szCs w:val="18"/>
              </w:rPr>
              <w:t>SIGNATURE</w:t>
            </w:r>
          </w:p>
        </w:tc>
        <w:tc>
          <w:tcPr>
            <w:tcW w:w="1558" w:type="dxa"/>
          </w:tcPr>
          <w:p w14:paraId="6613492F" w14:textId="4EF8E0A9" w:rsidR="0098686E" w:rsidRPr="003A79F5" w:rsidRDefault="0098686E" w:rsidP="004B5615">
            <w:pPr>
              <w:tabs>
                <w:tab w:val="left" w:pos="1194"/>
              </w:tabs>
              <w:spacing w:before="169"/>
              <w:ind w:right="356"/>
              <w:jc w:val="center"/>
              <w:rPr>
                <w:b/>
                <w:bCs/>
                <w:sz w:val="18"/>
                <w:szCs w:val="18"/>
              </w:rPr>
            </w:pPr>
            <w:r w:rsidRPr="003A79F5">
              <w:rPr>
                <w:b/>
                <w:bCs/>
                <w:sz w:val="18"/>
                <w:szCs w:val="18"/>
              </w:rPr>
              <w:t>DATE</w:t>
            </w:r>
          </w:p>
        </w:tc>
      </w:tr>
      <w:tr w:rsidR="0098686E" w14:paraId="73F74291" w14:textId="77777777" w:rsidTr="0098686E">
        <w:tc>
          <w:tcPr>
            <w:tcW w:w="2830" w:type="dxa"/>
          </w:tcPr>
          <w:p w14:paraId="41A960E2" w14:textId="77777777" w:rsidR="0098686E" w:rsidRDefault="0098686E" w:rsidP="0098686E">
            <w:pPr>
              <w:tabs>
                <w:tab w:val="left" w:pos="1194"/>
              </w:tabs>
              <w:spacing w:before="169"/>
              <w:ind w:right="356"/>
              <w:rPr>
                <w:sz w:val="18"/>
                <w:szCs w:val="18"/>
              </w:rPr>
            </w:pPr>
          </w:p>
        </w:tc>
        <w:tc>
          <w:tcPr>
            <w:tcW w:w="2552" w:type="dxa"/>
          </w:tcPr>
          <w:p w14:paraId="19F68ECD" w14:textId="77777777" w:rsidR="0098686E" w:rsidRDefault="0098686E" w:rsidP="0098686E">
            <w:pPr>
              <w:tabs>
                <w:tab w:val="left" w:pos="1194"/>
              </w:tabs>
              <w:spacing w:before="169"/>
              <w:ind w:right="356"/>
              <w:rPr>
                <w:sz w:val="18"/>
                <w:szCs w:val="18"/>
              </w:rPr>
            </w:pPr>
          </w:p>
        </w:tc>
        <w:tc>
          <w:tcPr>
            <w:tcW w:w="2410" w:type="dxa"/>
          </w:tcPr>
          <w:p w14:paraId="22D11A01" w14:textId="77777777" w:rsidR="0098686E" w:rsidRDefault="0098686E" w:rsidP="0098686E">
            <w:pPr>
              <w:tabs>
                <w:tab w:val="left" w:pos="1194"/>
              </w:tabs>
              <w:spacing w:before="169"/>
              <w:ind w:right="356"/>
              <w:rPr>
                <w:sz w:val="18"/>
                <w:szCs w:val="18"/>
              </w:rPr>
            </w:pPr>
          </w:p>
        </w:tc>
        <w:tc>
          <w:tcPr>
            <w:tcW w:w="1558" w:type="dxa"/>
          </w:tcPr>
          <w:p w14:paraId="4ADF4F6F" w14:textId="77777777" w:rsidR="0098686E" w:rsidRDefault="0098686E" w:rsidP="0098686E">
            <w:pPr>
              <w:tabs>
                <w:tab w:val="left" w:pos="1194"/>
              </w:tabs>
              <w:spacing w:before="169"/>
              <w:ind w:right="356"/>
              <w:rPr>
                <w:sz w:val="18"/>
                <w:szCs w:val="18"/>
              </w:rPr>
            </w:pPr>
          </w:p>
        </w:tc>
      </w:tr>
      <w:tr w:rsidR="0098686E" w14:paraId="296CC19F" w14:textId="77777777" w:rsidTr="0098686E">
        <w:tc>
          <w:tcPr>
            <w:tcW w:w="2830" w:type="dxa"/>
          </w:tcPr>
          <w:p w14:paraId="6FC1AE6F" w14:textId="77777777" w:rsidR="0098686E" w:rsidRDefault="0098686E" w:rsidP="0098686E">
            <w:pPr>
              <w:tabs>
                <w:tab w:val="left" w:pos="1194"/>
              </w:tabs>
              <w:spacing w:before="169"/>
              <w:ind w:right="356"/>
              <w:rPr>
                <w:sz w:val="18"/>
                <w:szCs w:val="18"/>
              </w:rPr>
            </w:pPr>
          </w:p>
        </w:tc>
        <w:tc>
          <w:tcPr>
            <w:tcW w:w="2552" w:type="dxa"/>
          </w:tcPr>
          <w:p w14:paraId="744DB89B" w14:textId="77777777" w:rsidR="0098686E" w:rsidRDefault="0098686E" w:rsidP="0098686E">
            <w:pPr>
              <w:tabs>
                <w:tab w:val="left" w:pos="1194"/>
              </w:tabs>
              <w:spacing w:before="169"/>
              <w:ind w:right="356"/>
              <w:rPr>
                <w:sz w:val="18"/>
                <w:szCs w:val="18"/>
              </w:rPr>
            </w:pPr>
          </w:p>
        </w:tc>
        <w:tc>
          <w:tcPr>
            <w:tcW w:w="2410" w:type="dxa"/>
          </w:tcPr>
          <w:p w14:paraId="64AFFBE1" w14:textId="77777777" w:rsidR="0098686E" w:rsidRDefault="0098686E" w:rsidP="0098686E">
            <w:pPr>
              <w:tabs>
                <w:tab w:val="left" w:pos="1194"/>
              </w:tabs>
              <w:spacing w:before="169"/>
              <w:ind w:right="356"/>
              <w:rPr>
                <w:sz w:val="18"/>
                <w:szCs w:val="18"/>
              </w:rPr>
            </w:pPr>
          </w:p>
        </w:tc>
        <w:tc>
          <w:tcPr>
            <w:tcW w:w="1558" w:type="dxa"/>
          </w:tcPr>
          <w:p w14:paraId="4E5EE464" w14:textId="77777777" w:rsidR="0098686E" w:rsidRDefault="0098686E" w:rsidP="0098686E">
            <w:pPr>
              <w:tabs>
                <w:tab w:val="left" w:pos="1194"/>
              </w:tabs>
              <w:spacing w:before="169"/>
              <w:ind w:right="356"/>
              <w:rPr>
                <w:sz w:val="18"/>
                <w:szCs w:val="18"/>
              </w:rPr>
            </w:pPr>
          </w:p>
        </w:tc>
      </w:tr>
      <w:tr w:rsidR="0098686E" w14:paraId="1D2EE088" w14:textId="77777777" w:rsidTr="0098686E">
        <w:tc>
          <w:tcPr>
            <w:tcW w:w="2830" w:type="dxa"/>
          </w:tcPr>
          <w:p w14:paraId="4C4CBCD0" w14:textId="77777777" w:rsidR="0098686E" w:rsidRDefault="0098686E" w:rsidP="0098686E">
            <w:pPr>
              <w:tabs>
                <w:tab w:val="left" w:pos="1194"/>
              </w:tabs>
              <w:spacing w:before="169"/>
              <w:ind w:right="356"/>
              <w:rPr>
                <w:sz w:val="18"/>
                <w:szCs w:val="18"/>
              </w:rPr>
            </w:pPr>
          </w:p>
        </w:tc>
        <w:tc>
          <w:tcPr>
            <w:tcW w:w="2552" w:type="dxa"/>
          </w:tcPr>
          <w:p w14:paraId="36F45F6A" w14:textId="77777777" w:rsidR="0098686E" w:rsidRDefault="0098686E" w:rsidP="0098686E">
            <w:pPr>
              <w:tabs>
                <w:tab w:val="left" w:pos="1194"/>
              </w:tabs>
              <w:spacing w:before="169"/>
              <w:ind w:right="356"/>
              <w:rPr>
                <w:sz w:val="18"/>
                <w:szCs w:val="18"/>
              </w:rPr>
            </w:pPr>
          </w:p>
        </w:tc>
        <w:tc>
          <w:tcPr>
            <w:tcW w:w="2410" w:type="dxa"/>
          </w:tcPr>
          <w:p w14:paraId="57FD35E8" w14:textId="77777777" w:rsidR="0098686E" w:rsidRDefault="0098686E" w:rsidP="0098686E">
            <w:pPr>
              <w:tabs>
                <w:tab w:val="left" w:pos="1194"/>
              </w:tabs>
              <w:spacing w:before="169"/>
              <w:ind w:right="356"/>
              <w:rPr>
                <w:sz w:val="18"/>
                <w:szCs w:val="18"/>
              </w:rPr>
            </w:pPr>
          </w:p>
        </w:tc>
        <w:tc>
          <w:tcPr>
            <w:tcW w:w="1558" w:type="dxa"/>
          </w:tcPr>
          <w:p w14:paraId="2809DB4D" w14:textId="77777777" w:rsidR="0098686E" w:rsidRDefault="0098686E" w:rsidP="0098686E">
            <w:pPr>
              <w:tabs>
                <w:tab w:val="left" w:pos="1194"/>
              </w:tabs>
              <w:spacing w:before="169"/>
              <w:ind w:right="356"/>
              <w:rPr>
                <w:sz w:val="18"/>
                <w:szCs w:val="18"/>
              </w:rPr>
            </w:pPr>
          </w:p>
        </w:tc>
      </w:tr>
      <w:tr w:rsidR="0098686E" w14:paraId="340BBA66" w14:textId="77777777" w:rsidTr="0098686E">
        <w:tc>
          <w:tcPr>
            <w:tcW w:w="2830" w:type="dxa"/>
          </w:tcPr>
          <w:p w14:paraId="2A6886CB" w14:textId="77777777" w:rsidR="0098686E" w:rsidRDefault="0098686E" w:rsidP="0098686E">
            <w:pPr>
              <w:tabs>
                <w:tab w:val="left" w:pos="1194"/>
              </w:tabs>
              <w:spacing w:before="169"/>
              <w:ind w:right="356"/>
              <w:rPr>
                <w:sz w:val="18"/>
                <w:szCs w:val="18"/>
              </w:rPr>
            </w:pPr>
          </w:p>
        </w:tc>
        <w:tc>
          <w:tcPr>
            <w:tcW w:w="2552" w:type="dxa"/>
          </w:tcPr>
          <w:p w14:paraId="0707D4DE" w14:textId="77777777" w:rsidR="0098686E" w:rsidRDefault="0098686E" w:rsidP="0098686E">
            <w:pPr>
              <w:tabs>
                <w:tab w:val="left" w:pos="1194"/>
              </w:tabs>
              <w:spacing w:before="169"/>
              <w:ind w:right="356"/>
              <w:rPr>
                <w:sz w:val="18"/>
                <w:szCs w:val="18"/>
              </w:rPr>
            </w:pPr>
          </w:p>
        </w:tc>
        <w:tc>
          <w:tcPr>
            <w:tcW w:w="2410" w:type="dxa"/>
          </w:tcPr>
          <w:p w14:paraId="527E0830" w14:textId="77777777" w:rsidR="0098686E" w:rsidRDefault="0098686E" w:rsidP="0098686E">
            <w:pPr>
              <w:tabs>
                <w:tab w:val="left" w:pos="1194"/>
              </w:tabs>
              <w:spacing w:before="169"/>
              <w:ind w:right="356"/>
              <w:rPr>
                <w:sz w:val="18"/>
                <w:szCs w:val="18"/>
              </w:rPr>
            </w:pPr>
          </w:p>
        </w:tc>
        <w:tc>
          <w:tcPr>
            <w:tcW w:w="1558" w:type="dxa"/>
          </w:tcPr>
          <w:p w14:paraId="480CF47A" w14:textId="77777777" w:rsidR="0098686E" w:rsidRDefault="0098686E" w:rsidP="0098686E">
            <w:pPr>
              <w:tabs>
                <w:tab w:val="left" w:pos="1194"/>
              </w:tabs>
              <w:spacing w:before="169"/>
              <w:ind w:right="356"/>
              <w:rPr>
                <w:sz w:val="18"/>
                <w:szCs w:val="18"/>
              </w:rPr>
            </w:pPr>
          </w:p>
        </w:tc>
      </w:tr>
      <w:tr w:rsidR="0098686E" w14:paraId="63EF7CA6" w14:textId="77777777" w:rsidTr="0098686E">
        <w:tc>
          <w:tcPr>
            <w:tcW w:w="2830" w:type="dxa"/>
          </w:tcPr>
          <w:p w14:paraId="40FA98DF" w14:textId="77777777" w:rsidR="0098686E" w:rsidRDefault="0098686E" w:rsidP="0098686E">
            <w:pPr>
              <w:tabs>
                <w:tab w:val="left" w:pos="1194"/>
              </w:tabs>
              <w:spacing w:before="169"/>
              <w:ind w:right="356"/>
              <w:rPr>
                <w:sz w:val="18"/>
                <w:szCs w:val="18"/>
              </w:rPr>
            </w:pPr>
          </w:p>
        </w:tc>
        <w:tc>
          <w:tcPr>
            <w:tcW w:w="2552" w:type="dxa"/>
          </w:tcPr>
          <w:p w14:paraId="68C7773B" w14:textId="77777777" w:rsidR="0098686E" w:rsidRDefault="0098686E" w:rsidP="0098686E">
            <w:pPr>
              <w:tabs>
                <w:tab w:val="left" w:pos="1194"/>
              </w:tabs>
              <w:spacing w:before="169"/>
              <w:ind w:right="356"/>
              <w:rPr>
                <w:sz w:val="18"/>
                <w:szCs w:val="18"/>
              </w:rPr>
            </w:pPr>
          </w:p>
        </w:tc>
        <w:tc>
          <w:tcPr>
            <w:tcW w:w="2410" w:type="dxa"/>
          </w:tcPr>
          <w:p w14:paraId="4735F291" w14:textId="77777777" w:rsidR="0098686E" w:rsidRDefault="0098686E" w:rsidP="0098686E">
            <w:pPr>
              <w:tabs>
                <w:tab w:val="left" w:pos="1194"/>
              </w:tabs>
              <w:spacing w:before="169"/>
              <w:ind w:right="356"/>
              <w:rPr>
                <w:sz w:val="18"/>
                <w:szCs w:val="18"/>
              </w:rPr>
            </w:pPr>
          </w:p>
        </w:tc>
        <w:tc>
          <w:tcPr>
            <w:tcW w:w="1558" w:type="dxa"/>
          </w:tcPr>
          <w:p w14:paraId="7BA7803C" w14:textId="77777777" w:rsidR="0098686E" w:rsidRDefault="0098686E" w:rsidP="0098686E">
            <w:pPr>
              <w:tabs>
                <w:tab w:val="left" w:pos="1194"/>
              </w:tabs>
              <w:spacing w:before="169"/>
              <w:ind w:right="356"/>
              <w:rPr>
                <w:sz w:val="18"/>
                <w:szCs w:val="18"/>
              </w:rPr>
            </w:pPr>
          </w:p>
        </w:tc>
      </w:tr>
      <w:tr w:rsidR="0098686E" w14:paraId="560BBE35" w14:textId="77777777" w:rsidTr="0098686E">
        <w:tc>
          <w:tcPr>
            <w:tcW w:w="2830" w:type="dxa"/>
          </w:tcPr>
          <w:p w14:paraId="758DDA12" w14:textId="77777777" w:rsidR="0098686E" w:rsidRDefault="0098686E" w:rsidP="0098686E">
            <w:pPr>
              <w:tabs>
                <w:tab w:val="left" w:pos="1194"/>
              </w:tabs>
              <w:spacing w:before="169"/>
              <w:ind w:right="356"/>
              <w:rPr>
                <w:sz w:val="18"/>
                <w:szCs w:val="18"/>
              </w:rPr>
            </w:pPr>
          </w:p>
        </w:tc>
        <w:tc>
          <w:tcPr>
            <w:tcW w:w="2552" w:type="dxa"/>
          </w:tcPr>
          <w:p w14:paraId="5DF3E8B6" w14:textId="77777777" w:rsidR="0098686E" w:rsidRDefault="0098686E" w:rsidP="0098686E">
            <w:pPr>
              <w:tabs>
                <w:tab w:val="left" w:pos="1194"/>
              </w:tabs>
              <w:spacing w:before="169"/>
              <w:ind w:right="356"/>
              <w:rPr>
                <w:sz w:val="18"/>
                <w:szCs w:val="18"/>
              </w:rPr>
            </w:pPr>
          </w:p>
        </w:tc>
        <w:tc>
          <w:tcPr>
            <w:tcW w:w="2410" w:type="dxa"/>
          </w:tcPr>
          <w:p w14:paraId="713377D7" w14:textId="77777777" w:rsidR="0098686E" w:rsidRDefault="0098686E" w:rsidP="0098686E">
            <w:pPr>
              <w:tabs>
                <w:tab w:val="left" w:pos="1194"/>
              </w:tabs>
              <w:spacing w:before="169"/>
              <w:ind w:right="356"/>
              <w:rPr>
                <w:sz w:val="18"/>
                <w:szCs w:val="18"/>
              </w:rPr>
            </w:pPr>
          </w:p>
        </w:tc>
        <w:tc>
          <w:tcPr>
            <w:tcW w:w="1558" w:type="dxa"/>
          </w:tcPr>
          <w:p w14:paraId="5E895842" w14:textId="77777777" w:rsidR="0098686E" w:rsidRDefault="0098686E" w:rsidP="0098686E">
            <w:pPr>
              <w:tabs>
                <w:tab w:val="left" w:pos="1194"/>
              </w:tabs>
              <w:spacing w:before="169"/>
              <w:ind w:right="356"/>
              <w:rPr>
                <w:sz w:val="18"/>
                <w:szCs w:val="18"/>
              </w:rPr>
            </w:pPr>
          </w:p>
        </w:tc>
      </w:tr>
      <w:tr w:rsidR="0098686E" w14:paraId="71840903" w14:textId="77777777" w:rsidTr="0098686E">
        <w:tc>
          <w:tcPr>
            <w:tcW w:w="2830" w:type="dxa"/>
          </w:tcPr>
          <w:p w14:paraId="1B8CD61E" w14:textId="77777777" w:rsidR="0098686E" w:rsidRDefault="0098686E" w:rsidP="0098686E">
            <w:pPr>
              <w:tabs>
                <w:tab w:val="left" w:pos="1194"/>
              </w:tabs>
              <w:spacing w:before="169"/>
              <w:ind w:right="356"/>
              <w:rPr>
                <w:sz w:val="18"/>
                <w:szCs w:val="18"/>
              </w:rPr>
            </w:pPr>
          </w:p>
        </w:tc>
        <w:tc>
          <w:tcPr>
            <w:tcW w:w="2552" w:type="dxa"/>
          </w:tcPr>
          <w:p w14:paraId="04FEEEBB" w14:textId="77777777" w:rsidR="0098686E" w:rsidRDefault="0098686E" w:rsidP="0098686E">
            <w:pPr>
              <w:tabs>
                <w:tab w:val="left" w:pos="1194"/>
              </w:tabs>
              <w:spacing w:before="169"/>
              <w:ind w:right="356"/>
              <w:rPr>
                <w:sz w:val="18"/>
                <w:szCs w:val="18"/>
              </w:rPr>
            </w:pPr>
          </w:p>
        </w:tc>
        <w:tc>
          <w:tcPr>
            <w:tcW w:w="2410" w:type="dxa"/>
          </w:tcPr>
          <w:p w14:paraId="43192764" w14:textId="77777777" w:rsidR="0098686E" w:rsidRDefault="0098686E" w:rsidP="0098686E">
            <w:pPr>
              <w:tabs>
                <w:tab w:val="left" w:pos="1194"/>
              </w:tabs>
              <w:spacing w:before="169"/>
              <w:ind w:right="356"/>
              <w:rPr>
                <w:sz w:val="18"/>
                <w:szCs w:val="18"/>
              </w:rPr>
            </w:pPr>
          </w:p>
        </w:tc>
        <w:tc>
          <w:tcPr>
            <w:tcW w:w="1558" w:type="dxa"/>
          </w:tcPr>
          <w:p w14:paraId="37090EA8" w14:textId="77777777" w:rsidR="0098686E" w:rsidRDefault="0098686E" w:rsidP="0098686E">
            <w:pPr>
              <w:tabs>
                <w:tab w:val="left" w:pos="1194"/>
              </w:tabs>
              <w:spacing w:before="169"/>
              <w:ind w:right="356"/>
              <w:rPr>
                <w:sz w:val="18"/>
                <w:szCs w:val="18"/>
              </w:rPr>
            </w:pPr>
          </w:p>
        </w:tc>
      </w:tr>
      <w:tr w:rsidR="0098686E" w14:paraId="42A5D8A1" w14:textId="77777777" w:rsidTr="0098686E">
        <w:tc>
          <w:tcPr>
            <w:tcW w:w="2830" w:type="dxa"/>
          </w:tcPr>
          <w:p w14:paraId="22019A05" w14:textId="77777777" w:rsidR="0098686E" w:rsidRDefault="0098686E" w:rsidP="0017147D">
            <w:pPr>
              <w:tabs>
                <w:tab w:val="left" w:pos="1194"/>
              </w:tabs>
              <w:spacing w:before="169"/>
              <w:ind w:right="356"/>
              <w:rPr>
                <w:sz w:val="18"/>
                <w:szCs w:val="18"/>
              </w:rPr>
            </w:pPr>
          </w:p>
        </w:tc>
        <w:tc>
          <w:tcPr>
            <w:tcW w:w="2552" w:type="dxa"/>
          </w:tcPr>
          <w:p w14:paraId="327E6F1C" w14:textId="77777777" w:rsidR="0098686E" w:rsidRDefault="0098686E" w:rsidP="0017147D">
            <w:pPr>
              <w:tabs>
                <w:tab w:val="left" w:pos="1194"/>
              </w:tabs>
              <w:spacing w:before="169"/>
              <w:ind w:right="356"/>
              <w:rPr>
                <w:sz w:val="18"/>
                <w:szCs w:val="18"/>
              </w:rPr>
            </w:pPr>
          </w:p>
        </w:tc>
        <w:tc>
          <w:tcPr>
            <w:tcW w:w="2410" w:type="dxa"/>
          </w:tcPr>
          <w:p w14:paraId="37794EFA" w14:textId="77777777" w:rsidR="0098686E" w:rsidRDefault="0098686E" w:rsidP="0017147D">
            <w:pPr>
              <w:tabs>
                <w:tab w:val="left" w:pos="1194"/>
              </w:tabs>
              <w:spacing w:before="169"/>
              <w:ind w:right="356"/>
              <w:rPr>
                <w:sz w:val="18"/>
                <w:szCs w:val="18"/>
              </w:rPr>
            </w:pPr>
          </w:p>
        </w:tc>
        <w:tc>
          <w:tcPr>
            <w:tcW w:w="1558" w:type="dxa"/>
          </w:tcPr>
          <w:p w14:paraId="43D7A370" w14:textId="77777777" w:rsidR="0098686E" w:rsidRDefault="0098686E" w:rsidP="0017147D">
            <w:pPr>
              <w:tabs>
                <w:tab w:val="left" w:pos="1194"/>
              </w:tabs>
              <w:spacing w:before="169"/>
              <w:ind w:right="356"/>
              <w:rPr>
                <w:sz w:val="18"/>
                <w:szCs w:val="18"/>
              </w:rPr>
            </w:pPr>
          </w:p>
        </w:tc>
      </w:tr>
      <w:tr w:rsidR="0098686E" w14:paraId="06E2C201" w14:textId="77777777" w:rsidTr="0098686E">
        <w:tc>
          <w:tcPr>
            <w:tcW w:w="2830" w:type="dxa"/>
          </w:tcPr>
          <w:p w14:paraId="6F746344" w14:textId="77777777" w:rsidR="0098686E" w:rsidRDefault="0098686E" w:rsidP="0017147D">
            <w:pPr>
              <w:tabs>
                <w:tab w:val="left" w:pos="1194"/>
              </w:tabs>
              <w:spacing w:before="169"/>
              <w:ind w:right="356"/>
              <w:rPr>
                <w:sz w:val="18"/>
                <w:szCs w:val="18"/>
              </w:rPr>
            </w:pPr>
          </w:p>
        </w:tc>
        <w:tc>
          <w:tcPr>
            <w:tcW w:w="2552" w:type="dxa"/>
          </w:tcPr>
          <w:p w14:paraId="5F110C2E" w14:textId="77777777" w:rsidR="0098686E" w:rsidRDefault="0098686E" w:rsidP="0017147D">
            <w:pPr>
              <w:tabs>
                <w:tab w:val="left" w:pos="1194"/>
              </w:tabs>
              <w:spacing w:before="169"/>
              <w:ind w:right="356"/>
              <w:rPr>
                <w:sz w:val="18"/>
                <w:szCs w:val="18"/>
              </w:rPr>
            </w:pPr>
          </w:p>
        </w:tc>
        <w:tc>
          <w:tcPr>
            <w:tcW w:w="2410" w:type="dxa"/>
          </w:tcPr>
          <w:p w14:paraId="2C0D30E1" w14:textId="77777777" w:rsidR="0098686E" w:rsidRDefault="0098686E" w:rsidP="0017147D">
            <w:pPr>
              <w:tabs>
                <w:tab w:val="left" w:pos="1194"/>
              </w:tabs>
              <w:spacing w:before="169"/>
              <w:ind w:right="356"/>
              <w:rPr>
                <w:sz w:val="18"/>
                <w:szCs w:val="18"/>
              </w:rPr>
            </w:pPr>
          </w:p>
        </w:tc>
        <w:tc>
          <w:tcPr>
            <w:tcW w:w="1558" w:type="dxa"/>
          </w:tcPr>
          <w:p w14:paraId="1118FE5C" w14:textId="77777777" w:rsidR="0098686E" w:rsidRDefault="0098686E" w:rsidP="0017147D">
            <w:pPr>
              <w:tabs>
                <w:tab w:val="left" w:pos="1194"/>
              </w:tabs>
              <w:spacing w:before="169"/>
              <w:ind w:right="356"/>
              <w:rPr>
                <w:sz w:val="18"/>
                <w:szCs w:val="18"/>
              </w:rPr>
            </w:pPr>
          </w:p>
        </w:tc>
      </w:tr>
      <w:tr w:rsidR="00832014" w14:paraId="07073195" w14:textId="77777777" w:rsidTr="00832014">
        <w:tc>
          <w:tcPr>
            <w:tcW w:w="2830" w:type="dxa"/>
          </w:tcPr>
          <w:p w14:paraId="3C4E9724" w14:textId="77777777" w:rsidR="00832014" w:rsidRDefault="00832014" w:rsidP="00837AF7">
            <w:pPr>
              <w:tabs>
                <w:tab w:val="left" w:pos="1194"/>
              </w:tabs>
              <w:spacing w:before="169"/>
              <w:ind w:right="356"/>
              <w:rPr>
                <w:sz w:val="18"/>
                <w:szCs w:val="18"/>
              </w:rPr>
            </w:pPr>
          </w:p>
        </w:tc>
        <w:tc>
          <w:tcPr>
            <w:tcW w:w="2552" w:type="dxa"/>
          </w:tcPr>
          <w:p w14:paraId="2E092469" w14:textId="77777777" w:rsidR="00832014" w:rsidRDefault="00832014" w:rsidP="00837AF7">
            <w:pPr>
              <w:tabs>
                <w:tab w:val="left" w:pos="1194"/>
              </w:tabs>
              <w:spacing w:before="169"/>
              <w:ind w:right="356"/>
              <w:rPr>
                <w:sz w:val="18"/>
                <w:szCs w:val="18"/>
              </w:rPr>
            </w:pPr>
          </w:p>
        </w:tc>
        <w:tc>
          <w:tcPr>
            <w:tcW w:w="2410" w:type="dxa"/>
          </w:tcPr>
          <w:p w14:paraId="2FC68BF0" w14:textId="77777777" w:rsidR="00832014" w:rsidRDefault="00832014" w:rsidP="00837AF7">
            <w:pPr>
              <w:tabs>
                <w:tab w:val="left" w:pos="1194"/>
              </w:tabs>
              <w:spacing w:before="169"/>
              <w:ind w:right="356"/>
              <w:rPr>
                <w:sz w:val="18"/>
                <w:szCs w:val="18"/>
              </w:rPr>
            </w:pPr>
          </w:p>
        </w:tc>
        <w:tc>
          <w:tcPr>
            <w:tcW w:w="1558" w:type="dxa"/>
          </w:tcPr>
          <w:p w14:paraId="6EF34E13" w14:textId="77777777" w:rsidR="00832014" w:rsidRDefault="00832014" w:rsidP="00837AF7">
            <w:pPr>
              <w:tabs>
                <w:tab w:val="left" w:pos="1194"/>
              </w:tabs>
              <w:spacing w:before="169"/>
              <w:ind w:right="356"/>
              <w:rPr>
                <w:sz w:val="18"/>
                <w:szCs w:val="18"/>
              </w:rPr>
            </w:pPr>
          </w:p>
        </w:tc>
      </w:tr>
      <w:tr w:rsidR="00D853E3" w14:paraId="57AFB07B" w14:textId="77777777" w:rsidTr="00D853E3">
        <w:tc>
          <w:tcPr>
            <w:tcW w:w="2830" w:type="dxa"/>
          </w:tcPr>
          <w:p w14:paraId="5C124232" w14:textId="77777777" w:rsidR="00D853E3" w:rsidRDefault="00D853E3" w:rsidP="006D1F19">
            <w:pPr>
              <w:tabs>
                <w:tab w:val="left" w:pos="1194"/>
              </w:tabs>
              <w:spacing w:before="169"/>
              <w:ind w:right="356"/>
              <w:rPr>
                <w:sz w:val="18"/>
                <w:szCs w:val="18"/>
              </w:rPr>
            </w:pPr>
          </w:p>
        </w:tc>
        <w:tc>
          <w:tcPr>
            <w:tcW w:w="2552" w:type="dxa"/>
          </w:tcPr>
          <w:p w14:paraId="43826AA8" w14:textId="77777777" w:rsidR="00D853E3" w:rsidRDefault="00D853E3" w:rsidP="006D1F19">
            <w:pPr>
              <w:tabs>
                <w:tab w:val="left" w:pos="1194"/>
              </w:tabs>
              <w:spacing w:before="169"/>
              <w:ind w:right="356"/>
              <w:rPr>
                <w:sz w:val="18"/>
                <w:szCs w:val="18"/>
              </w:rPr>
            </w:pPr>
          </w:p>
        </w:tc>
        <w:tc>
          <w:tcPr>
            <w:tcW w:w="2410" w:type="dxa"/>
          </w:tcPr>
          <w:p w14:paraId="7D42777C" w14:textId="77777777" w:rsidR="00D853E3" w:rsidRDefault="00D853E3" w:rsidP="006D1F19">
            <w:pPr>
              <w:tabs>
                <w:tab w:val="left" w:pos="1194"/>
              </w:tabs>
              <w:spacing w:before="169"/>
              <w:ind w:right="356"/>
              <w:rPr>
                <w:sz w:val="18"/>
                <w:szCs w:val="18"/>
              </w:rPr>
            </w:pPr>
          </w:p>
        </w:tc>
        <w:tc>
          <w:tcPr>
            <w:tcW w:w="1558" w:type="dxa"/>
          </w:tcPr>
          <w:p w14:paraId="79EEC2AF" w14:textId="77777777" w:rsidR="00D853E3" w:rsidRDefault="00D853E3" w:rsidP="006D1F19">
            <w:pPr>
              <w:tabs>
                <w:tab w:val="left" w:pos="1194"/>
              </w:tabs>
              <w:spacing w:before="169"/>
              <w:ind w:right="356"/>
              <w:rPr>
                <w:sz w:val="18"/>
                <w:szCs w:val="18"/>
              </w:rPr>
            </w:pPr>
          </w:p>
        </w:tc>
      </w:tr>
      <w:tr w:rsidR="00D853E3" w14:paraId="605DBF97" w14:textId="77777777" w:rsidTr="00D853E3">
        <w:tc>
          <w:tcPr>
            <w:tcW w:w="2830" w:type="dxa"/>
          </w:tcPr>
          <w:p w14:paraId="0A1230BC" w14:textId="77777777" w:rsidR="00D853E3" w:rsidRDefault="00D853E3" w:rsidP="006D1F19">
            <w:pPr>
              <w:tabs>
                <w:tab w:val="left" w:pos="1194"/>
              </w:tabs>
              <w:spacing w:before="169"/>
              <w:ind w:right="356"/>
              <w:rPr>
                <w:sz w:val="18"/>
                <w:szCs w:val="18"/>
              </w:rPr>
            </w:pPr>
          </w:p>
        </w:tc>
        <w:tc>
          <w:tcPr>
            <w:tcW w:w="2552" w:type="dxa"/>
          </w:tcPr>
          <w:p w14:paraId="76E44BCC" w14:textId="77777777" w:rsidR="00D853E3" w:rsidRDefault="00D853E3" w:rsidP="006D1F19">
            <w:pPr>
              <w:tabs>
                <w:tab w:val="left" w:pos="1194"/>
              </w:tabs>
              <w:spacing w:before="169"/>
              <w:ind w:right="356"/>
              <w:rPr>
                <w:sz w:val="18"/>
                <w:szCs w:val="18"/>
              </w:rPr>
            </w:pPr>
          </w:p>
        </w:tc>
        <w:tc>
          <w:tcPr>
            <w:tcW w:w="2410" w:type="dxa"/>
          </w:tcPr>
          <w:p w14:paraId="2F3CD775" w14:textId="77777777" w:rsidR="00D853E3" w:rsidRDefault="00D853E3" w:rsidP="006D1F19">
            <w:pPr>
              <w:tabs>
                <w:tab w:val="left" w:pos="1194"/>
              </w:tabs>
              <w:spacing w:before="169"/>
              <w:ind w:right="356"/>
              <w:rPr>
                <w:sz w:val="18"/>
                <w:szCs w:val="18"/>
              </w:rPr>
            </w:pPr>
          </w:p>
        </w:tc>
        <w:tc>
          <w:tcPr>
            <w:tcW w:w="1558" w:type="dxa"/>
          </w:tcPr>
          <w:p w14:paraId="4C227134" w14:textId="77777777" w:rsidR="00D853E3" w:rsidRDefault="00D853E3" w:rsidP="006D1F19">
            <w:pPr>
              <w:tabs>
                <w:tab w:val="left" w:pos="1194"/>
              </w:tabs>
              <w:spacing w:before="169"/>
              <w:ind w:right="356"/>
              <w:rPr>
                <w:sz w:val="18"/>
                <w:szCs w:val="18"/>
              </w:rPr>
            </w:pPr>
          </w:p>
        </w:tc>
      </w:tr>
      <w:tr w:rsidR="00D853E3" w14:paraId="7C9F2CD0" w14:textId="77777777" w:rsidTr="00D853E3">
        <w:tc>
          <w:tcPr>
            <w:tcW w:w="2830" w:type="dxa"/>
          </w:tcPr>
          <w:p w14:paraId="078BECAF" w14:textId="77777777" w:rsidR="00D853E3" w:rsidRDefault="00D853E3" w:rsidP="006D1F19">
            <w:pPr>
              <w:tabs>
                <w:tab w:val="left" w:pos="1194"/>
              </w:tabs>
              <w:spacing w:before="169"/>
              <w:ind w:right="356"/>
              <w:rPr>
                <w:sz w:val="18"/>
                <w:szCs w:val="18"/>
              </w:rPr>
            </w:pPr>
          </w:p>
        </w:tc>
        <w:tc>
          <w:tcPr>
            <w:tcW w:w="2552" w:type="dxa"/>
          </w:tcPr>
          <w:p w14:paraId="1E03AD79" w14:textId="77777777" w:rsidR="00D853E3" w:rsidRDefault="00D853E3" w:rsidP="006D1F19">
            <w:pPr>
              <w:tabs>
                <w:tab w:val="left" w:pos="1194"/>
              </w:tabs>
              <w:spacing w:before="169"/>
              <w:ind w:right="356"/>
              <w:rPr>
                <w:sz w:val="18"/>
                <w:szCs w:val="18"/>
              </w:rPr>
            </w:pPr>
          </w:p>
        </w:tc>
        <w:tc>
          <w:tcPr>
            <w:tcW w:w="2410" w:type="dxa"/>
          </w:tcPr>
          <w:p w14:paraId="0E22C1C5" w14:textId="77777777" w:rsidR="00D853E3" w:rsidRDefault="00D853E3" w:rsidP="006D1F19">
            <w:pPr>
              <w:tabs>
                <w:tab w:val="left" w:pos="1194"/>
              </w:tabs>
              <w:spacing w:before="169"/>
              <w:ind w:right="356"/>
              <w:rPr>
                <w:sz w:val="18"/>
                <w:szCs w:val="18"/>
              </w:rPr>
            </w:pPr>
          </w:p>
        </w:tc>
        <w:tc>
          <w:tcPr>
            <w:tcW w:w="1558" w:type="dxa"/>
          </w:tcPr>
          <w:p w14:paraId="667048A1" w14:textId="77777777" w:rsidR="00D853E3" w:rsidRDefault="00D853E3" w:rsidP="006D1F19">
            <w:pPr>
              <w:tabs>
                <w:tab w:val="left" w:pos="1194"/>
              </w:tabs>
              <w:spacing w:before="169"/>
              <w:ind w:right="356"/>
              <w:rPr>
                <w:sz w:val="18"/>
                <w:szCs w:val="18"/>
              </w:rPr>
            </w:pPr>
          </w:p>
        </w:tc>
      </w:tr>
      <w:tr w:rsidR="00D853E3" w14:paraId="6339704A" w14:textId="77777777" w:rsidTr="00D853E3">
        <w:tc>
          <w:tcPr>
            <w:tcW w:w="2830" w:type="dxa"/>
          </w:tcPr>
          <w:p w14:paraId="01873016" w14:textId="77777777" w:rsidR="00D853E3" w:rsidRDefault="00D853E3" w:rsidP="006D1F19">
            <w:pPr>
              <w:tabs>
                <w:tab w:val="left" w:pos="1194"/>
              </w:tabs>
              <w:spacing w:before="169"/>
              <w:ind w:right="356"/>
              <w:rPr>
                <w:sz w:val="18"/>
                <w:szCs w:val="18"/>
              </w:rPr>
            </w:pPr>
          </w:p>
        </w:tc>
        <w:tc>
          <w:tcPr>
            <w:tcW w:w="2552" w:type="dxa"/>
          </w:tcPr>
          <w:p w14:paraId="3A4C6DAC" w14:textId="77777777" w:rsidR="00D853E3" w:rsidRDefault="00D853E3" w:rsidP="006D1F19">
            <w:pPr>
              <w:tabs>
                <w:tab w:val="left" w:pos="1194"/>
              </w:tabs>
              <w:spacing w:before="169"/>
              <w:ind w:right="356"/>
              <w:rPr>
                <w:sz w:val="18"/>
                <w:szCs w:val="18"/>
              </w:rPr>
            </w:pPr>
          </w:p>
        </w:tc>
        <w:tc>
          <w:tcPr>
            <w:tcW w:w="2410" w:type="dxa"/>
          </w:tcPr>
          <w:p w14:paraId="2118235F" w14:textId="77777777" w:rsidR="00D853E3" w:rsidRDefault="00D853E3" w:rsidP="006D1F19">
            <w:pPr>
              <w:tabs>
                <w:tab w:val="left" w:pos="1194"/>
              </w:tabs>
              <w:spacing w:before="169"/>
              <w:ind w:right="356"/>
              <w:rPr>
                <w:sz w:val="18"/>
                <w:szCs w:val="18"/>
              </w:rPr>
            </w:pPr>
          </w:p>
        </w:tc>
        <w:tc>
          <w:tcPr>
            <w:tcW w:w="1558" w:type="dxa"/>
          </w:tcPr>
          <w:p w14:paraId="3611C82E" w14:textId="77777777" w:rsidR="00D853E3" w:rsidRDefault="00D853E3" w:rsidP="006D1F19">
            <w:pPr>
              <w:tabs>
                <w:tab w:val="left" w:pos="1194"/>
              </w:tabs>
              <w:spacing w:before="169"/>
              <w:ind w:right="356"/>
              <w:rPr>
                <w:sz w:val="18"/>
                <w:szCs w:val="18"/>
              </w:rPr>
            </w:pPr>
          </w:p>
        </w:tc>
      </w:tr>
      <w:tr w:rsidR="00F85EEF" w14:paraId="7A7D99B4" w14:textId="77777777" w:rsidTr="00F85EEF">
        <w:tc>
          <w:tcPr>
            <w:tcW w:w="2830" w:type="dxa"/>
          </w:tcPr>
          <w:p w14:paraId="2307C932" w14:textId="77777777" w:rsidR="00F85EEF" w:rsidRDefault="00F85EEF" w:rsidP="006D1F19">
            <w:pPr>
              <w:tabs>
                <w:tab w:val="left" w:pos="1194"/>
              </w:tabs>
              <w:spacing w:before="169"/>
              <w:ind w:right="356"/>
              <w:rPr>
                <w:sz w:val="18"/>
                <w:szCs w:val="18"/>
              </w:rPr>
            </w:pPr>
          </w:p>
        </w:tc>
        <w:tc>
          <w:tcPr>
            <w:tcW w:w="2552" w:type="dxa"/>
          </w:tcPr>
          <w:p w14:paraId="7CBE4D31" w14:textId="77777777" w:rsidR="00F85EEF" w:rsidRDefault="00F85EEF" w:rsidP="006D1F19">
            <w:pPr>
              <w:tabs>
                <w:tab w:val="left" w:pos="1194"/>
              </w:tabs>
              <w:spacing w:before="169"/>
              <w:ind w:right="356"/>
              <w:rPr>
                <w:sz w:val="18"/>
                <w:szCs w:val="18"/>
              </w:rPr>
            </w:pPr>
          </w:p>
        </w:tc>
        <w:tc>
          <w:tcPr>
            <w:tcW w:w="2410" w:type="dxa"/>
          </w:tcPr>
          <w:p w14:paraId="2BA43C53" w14:textId="77777777" w:rsidR="00F85EEF" w:rsidRDefault="00F85EEF" w:rsidP="006D1F19">
            <w:pPr>
              <w:tabs>
                <w:tab w:val="left" w:pos="1194"/>
              </w:tabs>
              <w:spacing w:before="169"/>
              <w:ind w:right="356"/>
              <w:rPr>
                <w:sz w:val="18"/>
                <w:szCs w:val="18"/>
              </w:rPr>
            </w:pPr>
          </w:p>
        </w:tc>
        <w:tc>
          <w:tcPr>
            <w:tcW w:w="1558" w:type="dxa"/>
          </w:tcPr>
          <w:p w14:paraId="56AB08CE" w14:textId="77777777" w:rsidR="00F85EEF" w:rsidRDefault="00F85EEF" w:rsidP="006D1F19">
            <w:pPr>
              <w:tabs>
                <w:tab w:val="left" w:pos="1194"/>
              </w:tabs>
              <w:spacing w:before="169"/>
              <w:ind w:right="356"/>
              <w:rPr>
                <w:sz w:val="18"/>
                <w:szCs w:val="18"/>
              </w:rPr>
            </w:pPr>
          </w:p>
        </w:tc>
      </w:tr>
      <w:tr w:rsidR="00F85EEF" w14:paraId="5E64C311" w14:textId="77777777" w:rsidTr="00F85EEF">
        <w:tc>
          <w:tcPr>
            <w:tcW w:w="2830" w:type="dxa"/>
          </w:tcPr>
          <w:p w14:paraId="3F7E8A8C" w14:textId="77777777" w:rsidR="00F85EEF" w:rsidRDefault="00F85EEF" w:rsidP="006D1F19">
            <w:pPr>
              <w:tabs>
                <w:tab w:val="left" w:pos="1194"/>
              </w:tabs>
              <w:spacing w:before="169"/>
              <w:ind w:right="356"/>
              <w:rPr>
                <w:sz w:val="18"/>
                <w:szCs w:val="18"/>
              </w:rPr>
            </w:pPr>
          </w:p>
        </w:tc>
        <w:tc>
          <w:tcPr>
            <w:tcW w:w="2552" w:type="dxa"/>
          </w:tcPr>
          <w:p w14:paraId="7495F5F2" w14:textId="77777777" w:rsidR="00F85EEF" w:rsidRDefault="00F85EEF" w:rsidP="006D1F19">
            <w:pPr>
              <w:tabs>
                <w:tab w:val="left" w:pos="1194"/>
              </w:tabs>
              <w:spacing w:before="169"/>
              <w:ind w:right="356"/>
              <w:rPr>
                <w:sz w:val="18"/>
                <w:szCs w:val="18"/>
              </w:rPr>
            </w:pPr>
          </w:p>
        </w:tc>
        <w:tc>
          <w:tcPr>
            <w:tcW w:w="2410" w:type="dxa"/>
          </w:tcPr>
          <w:p w14:paraId="380943FE" w14:textId="77777777" w:rsidR="00F85EEF" w:rsidRDefault="00F85EEF" w:rsidP="006D1F19">
            <w:pPr>
              <w:tabs>
                <w:tab w:val="left" w:pos="1194"/>
              </w:tabs>
              <w:spacing w:before="169"/>
              <w:ind w:right="356"/>
              <w:rPr>
                <w:sz w:val="18"/>
                <w:szCs w:val="18"/>
              </w:rPr>
            </w:pPr>
          </w:p>
        </w:tc>
        <w:tc>
          <w:tcPr>
            <w:tcW w:w="1558" w:type="dxa"/>
          </w:tcPr>
          <w:p w14:paraId="56824382" w14:textId="77777777" w:rsidR="00F85EEF" w:rsidRDefault="00F85EEF" w:rsidP="006D1F19">
            <w:pPr>
              <w:tabs>
                <w:tab w:val="left" w:pos="1194"/>
              </w:tabs>
              <w:spacing w:before="169"/>
              <w:ind w:right="356"/>
              <w:rPr>
                <w:sz w:val="18"/>
                <w:szCs w:val="18"/>
              </w:rPr>
            </w:pPr>
          </w:p>
        </w:tc>
      </w:tr>
    </w:tbl>
    <w:p w14:paraId="1944A19A" w14:textId="77777777" w:rsidR="00900C64" w:rsidRPr="0098686E" w:rsidRDefault="00900C64" w:rsidP="0098686E">
      <w:pPr>
        <w:tabs>
          <w:tab w:val="left" w:pos="1194"/>
        </w:tabs>
        <w:spacing w:before="169"/>
        <w:ind w:right="356"/>
        <w:rPr>
          <w:sz w:val="18"/>
          <w:szCs w:val="18"/>
        </w:rPr>
      </w:pPr>
    </w:p>
    <w:sectPr w:rsidR="00900C64" w:rsidRPr="0098686E" w:rsidSect="00A13443">
      <w:headerReference w:type="default" r:id="rId13"/>
      <w:footerReference w:type="default" r:id="rId14"/>
      <w:pgSz w:w="12240" w:h="15840"/>
      <w:pgMar w:top="1440" w:right="1440" w:bottom="1701" w:left="1440"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9F5B" w14:textId="77777777" w:rsidR="006C07FD" w:rsidRDefault="006C07FD">
      <w:r>
        <w:separator/>
      </w:r>
    </w:p>
  </w:endnote>
  <w:endnote w:type="continuationSeparator" w:id="0">
    <w:p w14:paraId="55210B53" w14:textId="77777777" w:rsidR="006C07FD" w:rsidRDefault="006C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9690" w14:textId="693F6D96" w:rsidR="0022517C" w:rsidRPr="00800C1E" w:rsidRDefault="0022517C" w:rsidP="00800C1E">
    <w:pPr>
      <w:pStyle w:val="Footer"/>
      <w:rPr>
        <w:sz w:val="18"/>
        <w:szCs w:val="18"/>
      </w:rPr>
    </w:pPr>
  </w:p>
  <w:p w14:paraId="228F7837" w14:textId="3D135318" w:rsidR="0022517C" w:rsidRDefault="002251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0D42" w14:textId="77777777" w:rsidR="006C07FD" w:rsidRDefault="006C07FD">
      <w:r>
        <w:separator/>
      </w:r>
    </w:p>
  </w:footnote>
  <w:footnote w:type="continuationSeparator" w:id="0">
    <w:p w14:paraId="3B92BA0A" w14:textId="77777777" w:rsidR="006C07FD" w:rsidRDefault="006C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159F" w14:textId="3DBCA6C6" w:rsidR="0022517C" w:rsidRPr="00E63CFD" w:rsidRDefault="00913B14" w:rsidP="00E63CFD">
    <w:pPr>
      <w:pStyle w:val="BodyText"/>
      <w:spacing w:before="2"/>
      <w:ind w:left="284" w:hanging="284"/>
      <w:rPr>
        <w:color w:val="BFBFBF" w:themeColor="background1" w:themeShade="BF"/>
        <w:sz w:val="16"/>
        <w:szCs w:val="16"/>
      </w:rPr>
    </w:pPr>
    <w:r>
      <w:rPr>
        <w:color w:val="BFBFBF" w:themeColor="background1" w:themeShade="BF"/>
        <w:sz w:val="16"/>
        <w:szCs w:val="16"/>
      </w:rPr>
      <w:t xml:space="preserve">SOP – Community Pharmacy Urinary tract infection (UTI) service </w:t>
    </w:r>
    <w:r w:rsidR="004B4C17">
      <w:rPr>
        <w:color w:val="BFBFBF" w:themeColor="background1" w:themeShade="BF"/>
        <w:sz w:val="16"/>
        <w:szCs w:val="16"/>
      </w:rPr>
      <w:t>November</w:t>
    </w:r>
    <w:r>
      <w:rPr>
        <w:color w:val="BFBFBF" w:themeColor="background1" w:themeShade="BF"/>
        <w:sz w:val="16"/>
        <w:szCs w:val="16"/>
      </w:rPr>
      <w:t xml:space="preserve"> 2023</w:t>
    </w:r>
    <w:r w:rsidR="0022517C">
      <w:rPr>
        <w:color w:val="BFBFBF" w:themeColor="background1" w:themeShade="BF"/>
        <w:sz w:val="16"/>
        <w:szCs w:val="16"/>
      </w:rPr>
      <w:tab/>
    </w:r>
    <w:r w:rsidR="0022517C">
      <w:rPr>
        <w:color w:val="BFBFBF" w:themeColor="background1" w:themeShade="BF"/>
        <w:sz w:val="16"/>
        <w:szCs w:val="16"/>
      </w:rPr>
      <w:tab/>
    </w:r>
    <w:r w:rsidR="0022517C">
      <w:rPr>
        <w:color w:val="BFBFBF" w:themeColor="background1" w:themeShade="BF"/>
        <w:sz w:val="16"/>
        <w:szCs w:val="16"/>
      </w:rPr>
      <w:tab/>
    </w:r>
  </w:p>
  <w:p w14:paraId="021B7B61" w14:textId="77777777" w:rsidR="0022517C" w:rsidRPr="00E63CFD" w:rsidRDefault="0022517C" w:rsidP="00E63CFD">
    <w:pPr>
      <w:pStyle w:val="BodyText"/>
      <w:spacing w:before="2"/>
      <w:rPr>
        <w:sz w:val="16"/>
        <w:szCs w:val="16"/>
      </w:rPr>
    </w:pPr>
  </w:p>
  <w:p w14:paraId="38EB8F17" w14:textId="4A3341FA" w:rsidR="0022517C" w:rsidRDefault="0022517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ED2"/>
    <w:multiLevelType w:val="multilevel"/>
    <w:tmpl w:val="1B68DC68"/>
    <w:numStyleLink w:val="Style1"/>
  </w:abstractNum>
  <w:abstractNum w:abstractNumId="1" w15:restartNumberingAfterBreak="0">
    <w:nsid w:val="22025232"/>
    <w:multiLevelType w:val="hybridMultilevel"/>
    <w:tmpl w:val="EE8022E8"/>
    <w:lvl w:ilvl="0" w:tplc="FC480250">
      <w:start w:val="8"/>
      <w:numFmt w:val="decimal"/>
      <w:lvlText w:val="%1."/>
      <w:lvlJc w:val="left"/>
      <w:pPr>
        <w:ind w:left="1040" w:hanging="360"/>
      </w:pPr>
      <w:rPr>
        <w:rFonts w:hint="default"/>
        <w:color w:val="auto"/>
        <w:w w:val="10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15:restartNumberingAfterBreak="0">
    <w:nsid w:val="22A24E16"/>
    <w:multiLevelType w:val="hybridMultilevel"/>
    <w:tmpl w:val="6B30A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02B0"/>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4" w15:restartNumberingAfterBreak="0">
    <w:nsid w:val="389E3ADF"/>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5" w15:restartNumberingAfterBreak="0">
    <w:nsid w:val="456D1DF3"/>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6" w15:restartNumberingAfterBreak="0">
    <w:nsid w:val="58712A0F"/>
    <w:multiLevelType w:val="hybridMultilevel"/>
    <w:tmpl w:val="080294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50132A"/>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8" w15:restartNumberingAfterBreak="0">
    <w:nsid w:val="5EA40F09"/>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9" w15:restartNumberingAfterBreak="0">
    <w:nsid w:val="61360F62"/>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10" w15:restartNumberingAfterBreak="0">
    <w:nsid w:val="622E376D"/>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11" w15:restartNumberingAfterBreak="0">
    <w:nsid w:val="65E84BBF"/>
    <w:multiLevelType w:val="hybridMultilevel"/>
    <w:tmpl w:val="08029478"/>
    <w:lvl w:ilvl="0" w:tplc="08090015">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E7E1E1D"/>
    <w:multiLevelType w:val="multilevel"/>
    <w:tmpl w:val="1B68DC68"/>
    <w:styleLink w:val="Style1"/>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13" w15:restartNumberingAfterBreak="0">
    <w:nsid w:val="73F6777F"/>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abstractNum w:abstractNumId="14" w15:restartNumberingAfterBreak="0">
    <w:nsid w:val="7B3B4DFD"/>
    <w:multiLevelType w:val="multilevel"/>
    <w:tmpl w:val="1B68DC68"/>
    <w:lvl w:ilvl="0">
      <w:start w:val="1"/>
      <w:numFmt w:val="decimal"/>
      <w:lvlText w:val="%1."/>
      <w:lvlJc w:val="left"/>
      <w:pPr>
        <w:ind w:left="339" w:hanging="339"/>
      </w:pPr>
      <w:rPr>
        <w:rFonts w:ascii="Arial" w:hAnsi="Arial" w:hint="default"/>
        <w:color w:val="3B3B3A"/>
        <w:spacing w:val="-1"/>
        <w:w w:val="104"/>
        <w:sz w:val="18"/>
        <w:szCs w:val="18"/>
      </w:rPr>
    </w:lvl>
    <w:lvl w:ilvl="1">
      <w:start w:val="1"/>
      <w:numFmt w:val="lowerLetter"/>
      <w:lvlText w:val="%2."/>
      <w:lvlJc w:val="left"/>
      <w:pPr>
        <w:ind w:left="1021" w:hanging="341"/>
      </w:pPr>
      <w:rPr>
        <w:rFonts w:ascii="Arial" w:hAnsi="Arial" w:hint="default"/>
        <w:color w:val="3B3B3A"/>
        <w:spacing w:val="-1"/>
        <w:w w:val="104"/>
        <w:sz w:val="18"/>
        <w:szCs w:val="18"/>
      </w:rPr>
    </w:lvl>
    <w:lvl w:ilvl="2">
      <w:start w:val="1"/>
      <w:numFmt w:val="lowerRoman"/>
      <w:lvlText w:val="%3"/>
      <w:lvlJc w:val="left"/>
      <w:pPr>
        <w:ind w:left="1991" w:hanging="341"/>
      </w:pPr>
      <w:rPr>
        <w:rFonts w:ascii="Arial" w:hAnsi="Arial" w:hint="default"/>
      </w:rPr>
    </w:lvl>
    <w:lvl w:ilvl="3">
      <w:numFmt w:val="bullet"/>
      <w:lvlText w:val="•"/>
      <w:lvlJc w:val="left"/>
      <w:pPr>
        <w:ind w:left="2953" w:hanging="341"/>
      </w:pPr>
      <w:rPr>
        <w:rFonts w:hint="default"/>
      </w:rPr>
    </w:lvl>
    <w:lvl w:ilvl="4">
      <w:numFmt w:val="bullet"/>
      <w:lvlText w:val="•"/>
      <w:lvlJc w:val="left"/>
      <w:pPr>
        <w:ind w:left="3915" w:hanging="341"/>
      </w:pPr>
      <w:rPr>
        <w:rFonts w:hint="default"/>
      </w:rPr>
    </w:lvl>
    <w:lvl w:ilvl="5">
      <w:numFmt w:val="bullet"/>
      <w:lvlText w:val="•"/>
      <w:lvlJc w:val="left"/>
      <w:pPr>
        <w:ind w:left="4877" w:hanging="341"/>
      </w:pPr>
      <w:rPr>
        <w:rFonts w:hint="default"/>
      </w:rPr>
    </w:lvl>
    <w:lvl w:ilvl="6">
      <w:numFmt w:val="bullet"/>
      <w:lvlText w:val="•"/>
      <w:lvlJc w:val="left"/>
      <w:pPr>
        <w:ind w:left="5840" w:hanging="341"/>
      </w:pPr>
      <w:rPr>
        <w:rFonts w:hint="default"/>
      </w:rPr>
    </w:lvl>
    <w:lvl w:ilvl="7">
      <w:numFmt w:val="bullet"/>
      <w:lvlText w:val="•"/>
      <w:lvlJc w:val="left"/>
      <w:pPr>
        <w:ind w:left="6802" w:hanging="341"/>
      </w:pPr>
      <w:rPr>
        <w:rFonts w:hint="default"/>
      </w:rPr>
    </w:lvl>
    <w:lvl w:ilvl="8">
      <w:numFmt w:val="bullet"/>
      <w:lvlText w:val="•"/>
      <w:lvlJc w:val="left"/>
      <w:pPr>
        <w:ind w:left="7764" w:hanging="341"/>
      </w:pPr>
      <w:rPr>
        <w:rFonts w:hint="default"/>
      </w:rPr>
    </w:lvl>
  </w:abstractNum>
  <w:num w:numId="1" w16cid:durableId="1347632103">
    <w:abstractNumId w:val="0"/>
  </w:num>
  <w:num w:numId="2" w16cid:durableId="608198695">
    <w:abstractNumId w:val="12"/>
  </w:num>
  <w:num w:numId="3" w16cid:durableId="1004942774">
    <w:abstractNumId w:val="11"/>
  </w:num>
  <w:num w:numId="4" w16cid:durableId="1542404399">
    <w:abstractNumId w:val="14"/>
  </w:num>
  <w:num w:numId="5" w16cid:durableId="1100565482">
    <w:abstractNumId w:val="5"/>
  </w:num>
  <w:num w:numId="6" w16cid:durableId="1917133980">
    <w:abstractNumId w:val="10"/>
  </w:num>
  <w:num w:numId="7" w16cid:durableId="1282221674">
    <w:abstractNumId w:val="4"/>
  </w:num>
  <w:num w:numId="8" w16cid:durableId="623779352">
    <w:abstractNumId w:val="6"/>
  </w:num>
  <w:num w:numId="9" w16cid:durableId="937254936">
    <w:abstractNumId w:val="9"/>
  </w:num>
  <w:num w:numId="10" w16cid:durableId="1616518232">
    <w:abstractNumId w:val="8"/>
  </w:num>
  <w:num w:numId="11" w16cid:durableId="953942814">
    <w:abstractNumId w:val="13"/>
  </w:num>
  <w:num w:numId="12" w16cid:durableId="1817213241">
    <w:abstractNumId w:val="3"/>
  </w:num>
  <w:num w:numId="13" w16cid:durableId="1114787097">
    <w:abstractNumId w:val="7"/>
  </w:num>
  <w:num w:numId="14" w16cid:durableId="1884251519">
    <w:abstractNumId w:val="1"/>
  </w:num>
  <w:num w:numId="15" w16cid:durableId="98763570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005a7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80"/>
    <w:rsid w:val="000000CB"/>
    <w:rsid w:val="0000124D"/>
    <w:rsid w:val="000237AE"/>
    <w:rsid w:val="00041A4A"/>
    <w:rsid w:val="00076619"/>
    <w:rsid w:val="000916E9"/>
    <w:rsid w:val="00097603"/>
    <w:rsid w:val="000A6F2E"/>
    <w:rsid w:val="000B0D1F"/>
    <w:rsid w:val="000D65D0"/>
    <w:rsid w:val="000E09F6"/>
    <w:rsid w:val="000F10D8"/>
    <w:rsid w:val="00100ED2"/>
    <w:rsid w:val="001066EF"/>
    <w:rsid w:val="0011564C"/>
    <w:rsid w:val="00122636"/>
    <w:rsid w:val="001328C8"/>
    <w:rsid w:val="00141EBE"/>
    <w:rsid w:val="00151564"/>
    <w:rsid w:val="00160441"/>
    <w:rsid w:val="001624DF"/>
    <w:rsid w:val="001851C4"/>
    <w:rsid w:val="00191730"/>
    <w:rsid w:val="001A7B82"/>
    <w:rsid w:val="001C62BE"/>
    <w:rsid w:val="001C71AD"/>
    <w:rsid w:val="001D5A76"/>
    <w:rsid w:val="001E1380"/>
    <w:rsid w:val="001E573B"/>
    <w:rsid w:val="001F0188"/>
    <w:rsid w:val="0021266A"/>
    <w:rsid w:val="00217188"/>
    <w:rsid w:val="00223BBC"/>
    <w:rsid w:val="0022517C"/>
    <w:rsid w:val="00230FB2"/>
    <w:rsid w:val="00250E48"/>
    <w:rsid w:val="00262D88"/>
    <w:rsid w:val="00264C32"/>
    <w:rsid w:val="0026699D"/>
    <w:rsid w:val="00286E44"/>
    <w:rsid w:val="002A3C1E"/>
    <w:rsid w:val="002A45DF"/>
    <w:rsid w:val="002A7840"/>
    <w:rsid w:val="002E51DD"/>
    <w:rsid w:val="002E6483"/>
    <w:rsid w:val="002F5A04"/>
    <w:rsid w:val="00301F2C"/>
    <w:rsid w:val="0031518D"/>
    <w:rsid w:val="00386578"/>
    <w:rsid w:val="003A79F5"/>
    <w:rsid w:val="003B094F"/>
    <w:rsid w:val="003B53A2"/>
    <w:rsid w:val="003E7A16"/>
    <w:rsid w:val="003F359D"/>
    <w:rsid w:val="003F3F3C"/>
    <w:rsid w:val="00406CCB"/>
    <w:rsid w:val="00426D96"/>
    <w:rsid w:val="00432BD0"/>
    <w:rsid w:val="004413AB"/>
    <w:rsid w:val="00493EF0"/>
    <w:rsid w:val="00496314"/>
    <w:rsid w:val="004B4C17"/>
    <w:rsid w:val="004B5615"/>
    <w:rsid w:val="004C05DC"/>
    <w:rsid w:val="004C2CD8"/>
    <w:rsid w:val="004C4CCC"/>
    <w:rsid w:val="004D05D2"/>
    <w:rsid w:val="004D4071"/>
    <w:rsid w:val="004F7BD8"/>
    <w:rsid w:val="00500397"/>
    <w:rsid w:val="00532721"/>
    <w:rsid w:val="0054667C"/>
    <w:rsid w:val="00556D5D"/>
    <w:rsid w:val="00565BCB"/>
    <w:rsid w:val="00566FED"/>
    <w:rsid w:val="00595B80"/>
    <w:rsid w:val="00597BAD"/>
    <w:rsid w:val="005B5D2C"/>
    <w:rsid w:val="005C2A8F"/>
    <w:rsid w:val="005E74C9"/>
    <w:rsid w:val="006151AA"/>
    <w:rsid w:val="006261CA"/>
    <w:rsid w:val="00626DB7"/>
    <w:rsid w:val="006301B1"/>
    <w:rsid w:val="0063137A"/>
    <w:rsid w:val="006331DC"/>
    <w:rsid w:val="00645277"/>
    <w:rsid w:val="00652A82"/>
    <w:rsid w:val="00653FB0"/>
    <w:rsid w:val="00664207"/>
    <w:rsid w:val="006667CC"/>
    <w:rsid w:val="00680F2E"/>
    <w:rsid w:val="006835FB"/>
    <w:rsid w:val="006855A5"/>
    <w:rsid w:val="006934CD"/>
    <w:rsid w:val="006935B2"/>
    <w:rsid w:val="006940CA"/>
    <w:rsid w:val="006A08B6"/>
    <w:rsid w:val="006A42F0"/>
    <w:rsid w:val="006A4C35"/>
    <w:rsid w:val="006A583A"/>
    <w:rsid w:val="006B5B48"/>
    <w:rsid w:val="006C07FD"/>
    <w:rsid w:val="006D55E9"/>
    <w:rsid w:val="0071304F"/>
    <w:rsid w:val="007138CD"/>
    <w:rsid w:val="00730A2E"/>
    <w:rsid w:val="007319FF"/>
    <w:rsid w:val="0074384E"/>
    <w:rsid w:val="007457F6"/>
    <w:rsid w:val="007460DA"/>
    <w:rsid w:val="00746447"/>
    <w:rsid w:val="007714DA"/>
    <w:rsid w:val="007914D3"/>
    <w:rsid w:val="007A2FAF"/>
    <w:rsid w:val="007C234D"/>
    <w:rsid w:val="00800C1E"/>
    <w:rsid w:val="008031C0"/>
    <w:rsid w:val="008062E9"/>
    <w:rsid w:val="00812A1A"/>
    <w:rsid w:val="00832014"/>
    <w:rsid w:val="00837498"/>
    <w:rsid w:val="0086104F"/>
    <w:rsid w:val="00864CCD"/>
    <w:rsid w:val="00884ECF"/>
    <w:rsid w:val="008913A6"/>
    <w:rsid w:val="008A5A47"/>
    <w:rsid w:val="008B3555"/>
    <w:rsid w:val="008C725F"/>
    <w:rsid w:val="008D1747"/>
    <w:rsid w:val="008E10B8"/>
    <w:rsid w:val="008E409A"/>
    <w:rsid w:val="008E69D8"/>
    <w:rsid w:val="00900C64"/>
    <w:rsid w:val="0091015D"/>
    <w:rsid w:val="00913B14"/>
    <w:rsid w:val="00914E56"/>
    <w:rsid w:val="00914ED0"/>
    <w:rsid w:val="009316AE"/>
    <w:rsid w:val="00934C21"/>
    <w:rsid w:val="00951873"/>
    <w:rsid w:val="00982DFE"/>
    <w:rsid w:val="0098686E"/>
    <w:rsid w:val="00993AB1"/>
    <w:rsid w:val="00996DDD"/>
    <w:rsid w:val="009A571B"/>
    <w:rsid w:val="009C4D5D"/>
    <w:rsid w:val="009C6AA4"/>
    <w:rsid w:val="009D166A"/>
    <w:rsid w:val="009E4D5B"/>
    <w:rsid w:val="009E7287"/>
    <w:rsid w:val="009F53D5"/>
    <w:rsid w:val="00A11751"/>
    <w:rsid w:val="00A13443"/>
    <w:rsid w:val="00A3769C"/>
    <w:rsid w:val="00A43165"/>
    <w:rsid w:val="00A551E0"/>
    <w:rsid w:val="00A64F83"/>
    <w:rsid w:val="00A81B93"/>
    <w:rsid w:val="00A92435"/>
    <w:rsid w:val="00AC1C77"/>
    <w:rsid w:val="00AD09D4"/>
    <w:rsid w:val="00B078CE"/>
    <w:rsid w:val="00B07F38"/>
    <w:rsid w:val="00B17432"/>
    <w:rsid w:val="00B2528E"/>
    <w:rsid w:val="00B27DA6"/>
    <w:rsid w:val="00B41903"/>
    <w:rsid w:val="00B44758"/>
    <w:rsid w:val="00B44A48"/>
    <w:rsid w:val="00B45276"/>
    <w:rsid w:val="00B66BA2"/>
    <w:rsid w:val="00B80EAA"/>
    <w:rsid w:val="00B855EF"/>
    <w:rsid w:val="00BA02EF"/>
    <w:rsid w:val="00BA2EE6"/>
    <w:rsid w:val="00BA600E"/>
    <w:rsid w:val="00BB2895"/>
    <w:rsid w:val="00BD3318"/>
    <w:rsid w:val="00BE213D"/>
    <w:rsid w:val="00BF2833"/>
    <w:rsid w:val="00C2369E"/>
    <w:rsid w:val="00C258B2"/>
    <w:rsid w:val="00C52DAB"/>
    <w:rsid w:val="00C74D6C"/>
    <w:rsid w:val="00C87514"/>
    <w:rsid w:val="00CB1127"/>
    <w:rsid w:val="00CB5D5D"/>
    <w:rsid w:val="00CB5FA0"/>
    <w:rsid w:val="00CB60AE"/>
    <w:rsid w:val="00D10C8B"/>
    <w:rsid w:val="00D15887"/>
    <w:rsid w:val="00D21F02"/>
    <w:rsid w:val="00D31DF3"/>
    <w:rsid w:val="00D44AF7"/>
    <w:rsid w:val="00D55E92"/>
    <w:rsid w:val="00D7520B"/>
    <w:rsid w:val="00D849E1"/>
    <w:rsid w:val="00D84C15"/>
    <w:rsid w:val="00D853E3"/>
    <w:rsid w:val="00D9380B"/>
    <w:rsid w:val="00DB3FE3"/>
    <w:rsid w:val="00DB49C1"/>
    <w:rsid w:val="00DC18F1"/>
    <w:rsid w:val="00DD724C"/>
    <w:rsid w:val="00DF0DFC"/>
    <w:rsid w:val="00E06B42"/>
    <w:rsid w:val="00E170E0"/>
    <w:rsid w:val="00E254F9"/>
    <w:rsid w:val="00E31473"/>
    <w:rsid w:val="00E40CF3"/>
    <w:rsid w:val="00E42C7A"/>
    <w:rsid w:val="00E510E5"/>
    <w:rsid w:val="00E552BE"/>
    <w:rsid w:val="00E63CFD"/>
    <w:rsid w:val="00E72D3E"/>
    <w:rsid w:val="00E76C80"/>
    <w:rsid w:val="00E953BD"/>
    <w:rsid w:val="00E96C8E"/>
    <w:rsid w:val="00E97760"/>
    <w:rsid w:val="00EB2CFB"/>
    <w:rsid w:val="00EC74BE"/>
    <w:rsid w:val="00ED096D"/>
    <w:rsid w:val="00ED0D3E"/>
    <w:rsid w:val="00EE1D6D"/>
    <w:rsid w:val="00EF17F7"/>
    <w:rsid w:val="00EF196A"/>
    <w:rsid w:val="00EF2AA2"/>
    <w:rsid w:val="00F06911"/>
    <w:rsid w:val="00F07CE9"/>
    <w:rsid w:val="00F65BC1"/>
    <w:rsid w:val="00F735EC"/>
    <w:rsid w:val="00F81515"/>
    <w:rsid w:val="00F85EEF"/>
    <w:rsid w:val="00F90D52"/>
    <w:rsid w:val="00FC2C81"/>
    <w:rsid w:val="00FE42C9"/>
    <w:rsid w:val="00FF4908"/>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5a7f"/>
    </o:shapedefaults>
    <o:shapelayout v:ext="edit">
      <o:idmap v:ext="edit" data="2"/>
    </o:shapelayout>
  </w:shapeDefaults>
  <w:decimalSymbol w:val="."/>
  <w:listSeparator w:val=","/>
  <w14:docId w14:val="0A35C582"/>
  <w15:docId w15:val="{8495CF2A-B532-4A30-93A6-772277D5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516"/>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193" w:hanging="3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13A6"/>
    <w:pPr>
      <w:tabs>
        <w:tab w:val="center" w:pos="4513"/>
        <w:tab w:val="right" w:pos="9026"/>
      </w:tabs>
    </w:pPr>
  </w:style>
  <w:style w:type="character" w:customStyle="1" w:styleId="HeaderChar">
    <w:name w:val="Header Char"/>
    <w:basedOn w:val="DefaultParagraphFont"/>
    <w:link w:val="Header"/>
    <w:uiPriority w:val="99"/>
    <w:rsid w:val="008913A6"/>
    <w:rPr>
      <w:rFonts w:ascii="Arial" w:eastAsia="Arial" w:hAnsi="Arial" w:cs="Arial"/>
    </w:rPr>
  </w:style>
  <w:style w:type="paragraph" w:styleId="Footer">
    <w:name w:val="footer"/>
    <w:basedOn w:val="Normal"/>
    <w:link w:val="FooterChar"/>
    <w:uiPriority w:val="99"/>
    <w:unhideWhenUsed/>
    <w:rsid w:val="008913A6"/>
    <w:pPr>
      <w:tabs>
        <w:tab w:val="center" w:pos="4513"/>
        <w:tab w:val="right" w:pos="9026"/>
      </w:tabs>
    </w:pPr>
  </w:style>
  <w:style w:type="character" w:customStyle="1" w:styleId="FooterChar">
    <w:name w:val="Footer Char"/>
    <w:basedOn w:val="DefaultParagraphFont"/>
    <w:link w:val="Footer"/>
    <w:uiPriority w:val="99"/>
    <w:rsid w:val="008913A6"/>
    <w:rPr>
      <w:rFonts w:ascii="Arial" w:eastAsia="Arial" w:hAnsi="Arial" w:cs="Arial"/>
    </w:rPr>
  </w:style>
  <w:style w:type="character" w:customStyle="1" w:styleId="BodyTextChar">
    <w:name w:val="Body Text Char"/>
    <w:basedOn w:val="DefaultParagraphFont"/>
    <w:link w:val="BodyText"/>
    <w:uiPriority w:val="1"/>
    <w:rsid w:val="008913A6"/>
    <w:rPr>
      <w:rFonts w:ascii="Arial" w:eastAsia="Arial" w:hAnsi="Arial" w:cs="Arial"/>
      <w:sz w:val="18"/>
      <w:szCs w:val="18"/>
    </w:rPr>
  </w:style>
  <w:style w:type="table" w:styleId="TableGrid">
    <w:name w:val="Table Grid"/>
    <w:basedOn w:val="TableNormal"/>
    <w:uiPriority w:val="39"/>
    <w:rsid w:val="0089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EBE"/>
    <w:rPr>
      <w:color w:val="0000FF"/>
      <w:u w:val="single"/>
    </w:rPr>
  </w:style>
  <w:style w:type="paragraph" w:styleId="BalloonText">
    <w:name w:val="Balloon Text"/>
    <w:basedOn w:val="Normal"/>
    <w:link w:val="BalloonTextChar"/>
    <w:uiPriority w:val="99"/>
    <w:semiHidden/>
    <w:unhideWhenUsed/>
    <w:rsid w:val="004D0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D2"/>
    <w:rPr>
      <w:rFonts w:ascii="Segoe UI" w:eastAsia="Arial" w:hAnsi="Segoe UI" w:cs="Segoe UI"/>
      <w:sz w:val="18"/>
      <w:szCs w:val="18"/>
      <w:lang w:val="en-GB"/>
    </w:rPr>
  </w:style>
  <w:style w:type="numbering" w:customStyle="1" w:styleId="Style1">
    <w:name w:val="Style1"/>
    <w:uiPriority w:val="99"/>
    <w:rsid w:val="00BF2833"/>
    <w:pPr>
      <w:numPr>
        <w:numId w:val="2"/>
      </w:numPr>
    </w:pPr>
  </w:style>
  <w:style w:type="character" w:styleId="CommentReference">
    <w:name w:val="annotation reference"/>
    <w:basedOn w:val="DefaultParagraphFont"/>
    <w:uiPriority w:val="99"/>
    <w:semiHidden/>
    <w:unhideWhenUsed/>
    <w:rsid w:val="000A6F2E"/>
    <w:rPr>
      <w:sz w:val="16"/>
      <w:szCs w:val="16"/>
    </w:rPr>
  </w:style>
  <w:style w:type="paragraph" w:styleId="CommentText">
    <w:name w:val="annotation text"/>
    <w:basedOn w:val="Normal"/>
    <w:link w:val="CommentTextChar"/>
    <w:uiPriority w:val="99"/>
    <w:semiHidden/>
    <w:unhideWhenUsed/>
    <w:rsid w:val="000A6F2E"/>
    <w:rPr>
      <w:sz w:val="20"/>
      <w:szCs w:val="20"/>
    </w:rPr>
  </w:style>
  <w:style w:type="character" w:customStyle="1" w:styleId="CommentTextChar">
    <w:name w:val="Comment Text Char"/>
    <w:basedOn w:val="DefaultParagraphFont"/>
    <w:link w:val="CommentText"/>
    <w:uiPriority w:val="99"/>
    <w:semiHidden/>
    <w:rsid w:val="000A6F2E"/>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0A6F2E"/>
    <w:rPr>
      <w:b/>
      <w:bCs/>
    </w:rPr>
  </w:style>
  <w:style w:type="character" w:customStyle="1" w:styleId="CommentSubjectChar">
    <w:name w:val="Comment Subject Char"/>
    <w:basedOn w:val="CommentTextChar"/>
    <w:link w:val="CommentSubject"/>
    <w:uiPriority w:val="99"/>
    <w:semiHidden/>
    <w:rsid w:val="000A6F2E"/>
    <w:rPr>
      <w:rFonts w:ascii="Arial" w:eastAsia="Arial" w:hAnsi="Arial" w:cs="Arial"/>
      <w:b/>
      <w:bCs/>
      <w:sz w:val="20"/>
      <w:szCs w:val="20"/>
      <w:lang w:val="en-GB"/>
    </w:rPr>
  </w:style>
  <w:style w:type="character" w:customStyle="1" w:styleId="UnresolvedMention1">
    <w:name w:val="Unresolved Mention1"/>
    <w:basedOn w:val="DefaultParagraphFont"/>
    <w:uiPriority w:val="99"/>
    <w:semiHidden/>
    <w:unhideWhenUsed/>
    <w:rsid w:val="00730A2E"/>
    <w:rPr>
      <w:color w:val="605E5C"/>
      <w:shd w:val="clear" w:color="auto" w:fill="E1DFDD"/>
    </w:rPr>
  </w:style>
  <w:style w:type="character" w:styleId="FollowedHyperlink">
    <w:name w:val="FollowedHyperlink"/>
    <w:basedOn w:val="DefaultParagraphFont"/>
    <w:uiPriority w:val="99"/>
    <w:semiHidden/>
    <w:unhideWhenUsed/>
    <w:rsid w:val="00B41903"/>
    <w:rPr>
      <w:color w:val="800080" w:themeColor="followedHyperlink"/>
      <w:u w:val="single"/>
    </w:rPr>
  </w:style>
  <w:style w:type="paragraph" w:styleId="Revision">
    <w:name w:val="Revision"/>
    <w:hidden/>
    <w:uiPriority w:val="99"/>
    <w:semiHidden/>
    <w:rsid w:val="006D55E9"/>
    <w:pPr>
      <w:widowControl/>
      <w:autoSpaceDE/>
      <w:autoSpaceDN/>
    </w:pPr>
    <w:rPr>
      <w:rFonts w:ascii="Arial" w:eastAsia="Arial" w:hAnsi="Arial" w:cs="Arial"/>
      <w:lang w:val="en-GB"/>
    </w:rPr>
  </w:style>
  <w:style w:type="character" w:styleId="UnresolvedMention">
    <w:name w:val="Unresolved Mention"/>
    <w:basedOn w:val="DefaultParagraphFont"/>
    <w:uiPriority w:val="99"/>
    <w:semiHidden/>
    <w:unhideWhenUsed/>
    <w:rsid w:val="00AC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vccg.pmot1@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9FCA3-F016-4168-84D2-713D93A5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76B51-5654-439F-B704-57A2B4FB5B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C95C1-3F36-48DA-BF13-F6F076DD8AA8}">
  <ds:schemaRefs>
    <ds:schemaRef ds:uri="http://schemas.openxmlformats.org/officeDocument/2006/bibliography"/>
  </ds:schemaRefs>
</ds:datastoreItem>
</file>

<file path=customXml/itemProps4.xml><?xml version="1.0" encoding="utf-8"?>
<ds:datastoreItem xmlns:ds="http://schemas.openxmlformats.org/officeDocument/2006/customXml" ds:itemID="{CA2B5C14-D4B8-43C5-B06E-E7F788BEE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Microsoft Word - SOP 23 Pharmacy Services</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SOP 23 Pharmacy Services</dc:title>
  <dc:creator>Beattie.Bourne</dc:creator>
  <cp:lastModifiedBy>Lorna Girling</cp:lastModifiedBy>
  <cp:revision>2</cp:revision>
  <cp:lastPrinted>2019-08-21T10:58:00Z</cp:lastPrinted>
  <dcterms:created xsi:type="dcterms:W3CDTF">2023-12-20T11:49:00Z</dcterms:created>
  <dcterms:modified xsi:type="dcterms:W3CDTF">2023-12-20T11:49:00Z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PDFCreator 2.3.0.103</vt:lpwstr>
  </property>
  <property fmtid="{D5CDD505-2E9C-101B-9397-08002B2CF9AE}" pid="4" name="LastSaved">
    <vt:filetime>2019-08-02T00:00:00Z</vt:filetime>
  </property>
  <property fmtid="{D5CDD505-2E9C-101B-9397-08002B2CF9AE}" pid="5" name="ContentTypeId">
    <vt:lpwstr>0x0101006841035E9C3D2F409AF07E8835ED420A</vt:lpwstr>
  </property>
</Properties>
</file>